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D549" w14:textId="77777777" w:rsidR="001E2E7E" w:rsidRDefault="00000000">
      <w:pPr>
        <w:pStyle w:val="a5"/>
        <w:spacing w:line="360" w:lineRule="exact"/>
        <w:jc w:val="center"/>
        <w:rPr>
          <w:rFonts w:ascii="ＭＳ ゴシック" w:eastAsia="ＭＳ ゴシック"/>
          <w:b/>
          <w:bCs/>
          <w:sz w:val="28"/>
        </w:rPr>
      </w:pPr>
      <w:r w:rsidRPr="00735964">
        <w:rPr>
          <w:rFonts w:ascii="ＭＳ ゴシック" w:eastAsia="ＭＳ ゴシック" w:hint="eastAsia"/>
          <w:b/>
          <w:bCs/>
          <w:sz w:val="28"/>
          <w:bdr w:val="single" w:sz="4" w:space="0" w:color="auto"/>
        </w:rPr>
        <w:t>グリーンシート制度の見直しのための本協会関係規則の</w:t>
      </w:r>
      <w:r w:rsidRPr="00735964">
        <w:rPr>
          <w:rFonts w:eastAsia="ＭＳ ゴシック" w:hint="eastAsia"/>
          <w:b/>
          <w:bCs/>
          <w:sz w:val="28"/>
          <w:bdr w:val="single" w:sz="4" w:space="0" w:color="auto"/>
        </w:rPr>
        <w:t>改正等</w:t>
      </w:r>
      <w:r w:rsidRPr="00735964">
        <w:rPr>
          <w:rFonts w:ascii="ＭＳ ゴシック" w:eastAsia="ＭＳ ゴシック" w:hint="eastAsia"/>
          <w:b/>
          <w:bCs/>
          <w:sz w:val="28"/>
          <w:bdr w:val="single" w:sz="4" w:space="0" w:color="auto"/>
        </w:rPr>
        <w:t>について</w:t>
      </w:r>
    </w:p>
    <w:p w14:paraId="25ED3EEB" w14:textId="77777777" w:rsidR="001E2E7E" w:rsidRDefault="00000000">
      <w:pPr>
        <w:spacing w:line="360" w:lineRule="exact"/>
        <w:ind w:leftChars="6952" w:left="14599"/>
        <w:jc w:val="distribute"/>
        <w:rPr>
          <w:rFonts w:ascii="ＭＳ 明朝" w:hAnsi="ＭＳ 明朝"/>
          <w:sz w:val="22"/>
        </w:rPr>
      </w:pPr>
      <w:r>
        <w:rPr>
          <w:rFonts w:ascii="ＭＳ 明朝" w:hAnsi="ＭＳ 明朝" w:hint="eastAsia"/>
          <w:sz w:val="22"/>
        </w:rPr>
        <w:t>平成18年２月17日</w:t>
      </w:r>
    </w:p>
    <w:p w14:paraId="19937858" w14:textId="77777777" w:rsidR="001E2E7E" w:rsidRDefault="00000000">
      <w:pPr>
        <w:spacing w:line="360" w:lineRule="exact"/>
        <w:ind w:leftChars="6952" w:left="14599"/>
        <w:jc w:val="distribute"/>
        <w:rPr>
          <w:rFonts w:ascii="ＭＳ 明朝" w:hAnsi="ＭＳ 明朝"/>
          <w:sz w:val="22"/>
        </w:rPr>
      </w:pPr>
      <w:r>
        <w:rPr>
          <w:rFonts w:ascii="ＭＳ 明朝" w:hAnsi="ＭＳ 明朝" w:hint="eastAsia"/>
          <w:sz w:val="22"/>
        </w:rPr>
        <w:t>日本証券業協会</w:t>
      </w:r>
    </w:p>
    <w:p w14:paraId="497C7992" w14:textId="77777777" w:rsidR="001E2E7E" w:rsidRDefault="001E2E7E">
      <w:pPr>
        <w:pStyle w:val="a5"/>
        <w:snapToGrid w:val="0"/>
        <w:spacing w:line="360" w:lineRule="exact"/>
        <w:ind w:leftChars="100" w:left="210"/>
        <w:rPr>
          <w:sz w:val="21"/>
        </w:rPr>
      </w:pPr>
    </w:p>
    <w:p w14:paraId="4750B952" w14:textId="77777777" w:rsidR="001E2E7E" w:rsidRDefault="001E2E7E">
      <w:pPr>
        <w:pStyle w:val="a5"/>
        <w:snapToGrid w:val="0"/>
        <w:spacing w:line="360" w:lineRule="exact"/>
        <w:ind w:leftChars="100" w:left="210"/>
        <w:rPr>
          <w:sz w:val="21"/>
        </w:rPr>
      </w:pPr>
    </w:p>
    <w:p w14:paraId="7EE24C1D" w14:textId="77777777" w:rsidR="001E2E7E" w:rsidRDefault="00000000">
      <w:pPr>
        <w:pStyle w:val="2"/>
        <w:ind w:leftChars="16" w:left="34" w:firstLineChars="100" w:firstLine="240"/>
      </w:pPr>
      <w:r>
        <w:rPr>
          <w:rFonts w:hint="eastAsia"/>
        </w:rPr>
        <w:t>本協会では、平成16年10月にエクイティ市場委員会の下部に設置した「グリーンシート制度の見直しに関するワーキング・グループ」において、フェニックス区分の取扱い及びエマージング区分からオーディナリー区分への移行基準の見直しについて精力的に検討を行ってきた。</w:t>
      </w:r>
    </w:p>
    <w:p w14:paraId="4A8EDFC2" w14:textId="77777777" w:rsidR="001E2E7E" w:rsidRDefault="00000000">
      <w:pPr>
        <w:autoSpaceDE w:val="0"/>
        <w:autoSpaceDN w:val="0"/>
        <w:adjustRightInd w:val="0"/>
        <w:ind w:firstLineChars="100" w:firstLine="240"/>
        <w:jc w:val="left"/>
        <w:rPr>
          <w:rFonts w:ascii="ＭＳ 明朝" w:hAnsi="ＭＳ 明朝"/>
          <w:kern w:val="0"/>
          <w:sz w:val="24"/>
          <w:szCs w:val="20"/>
        </w:rPr>
      </w:pPr>
      <w:r>
        <w:rPr>
          <w:rFonts w:ascii="ＭＳ 明朝" w:hAnsi="ＭＳ 明朝" w:hint="eastAsia"/>
          <w:kern w:val="0"/>
          <w:sz w:val="24"/>
          <w:szCs w:val="21"/>
        </w:rPr>
        <w:t>今般、この検討の結果がまとまったことを受け、これを実現するために「グリーンシート銘柄に関する規則」（公正慣習規則第２号）等の一部について、以下のとおり所要の整備を行うこととしたい。</w:t>
      </w:r>
    </w:p>
    <w:p w14:paraId="662AEC9E" w14:textId="77777777" w:rsidR="001E2E7E" w:rsidRDefault="001E2E7E">
      <w:pPr>
        <w:spacing w:line="360" w:lineRule="exact"/>
        <w:rPr>
          <w:rFonts w:eastAsia="ＭＳ Ｐ明朝"/>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419"/>
        <w:gridCol w:w="8460"/>
        <w:gridCol w:w="4500"/>
      </w:tblGrid>
      <w:tr w:rsidR="001E2E7E" w14:paraId="0BACFD8C" w14:textId="77777777">
        <w:trPr>
          <w:tblHeader/>
        </w:trPr>
        <w:tc>
          <w:tcPr>
            <w:tcW w:w="4419" w:type="dxa"/>
            <w:tcBorders>
              <w:bottom w:val="single" w:sz="4" w:space="0" w:color="auto"/>
            </w:tcBorders>
            <w:vAlign w:val="center"/>
          </w:tcPr>
          <w:p w14:paraId="17C44CC2" w14:textId="77777777" w:rsidR="001E2E7E" w:rsidRDefault="00000000">
            <w:pPr>
              <w:spacing w:line="360" w:lineRule="exact"/>
              <w:jc w:val="center"/>
              <w:rPr>
                <w:rFonts w:eastAsia="ＭＳ Ｐゴシック"/>
                <w:b/>
                <w:bCs/>
                <w:sz w:val="22"/>
              </w:rPr>
            </w:pPr>
            <w:r>
              <w:rPr>
                <w:rFonts w:eastAsia="ＭＳ Ｐゴシック" w:hint="eastAsia"/>
                <w:b/>
                <w:bCs/>
                <w:sz w:val="22"/>
              </w:rPr>
              <w:t>項　　目</w:t>
            </w:r>
          </w:p>
        </w:tc>
        <w:tc>
          <w:tcPr>
            <w:tcW w:w="8460" w:type="dxa"/>
            <w:tcBorders>
              <w:bottom w:val="single" w:sz="4" w:space="0" w:color="auto"/>
            </w:tcBorders>
            <w:vAlign w:val="center"/>
          </w:tcPr>
          <w:p w14:paraId="60C15C68" w14:textId="77777777" w:rsidR="001E2E7E" w:rsidRDefault="00000000">
            <w:pPr>
              <w:spacing w:line="360" w:lineRule="exact"/>
              <w:jc w:val="center"/>
              <w:rPr>
                <w:rFonts w:eastAsia="ＭＳ Ｐゴシック"/>
                <w:b/>
                <w:bCs/>
                <w:sz w:val="22"/>
              </w:rPr>
            </w:pPr>
            <w:r>
              <w:rPr>
                <w:rFonts w:eastAsia="ＭＳ Ｐゴシック" w:hint="eastAsia"/>
                <w:b/>
                <w:bCs/>
                <w:sz w:val="22"/>
              </w:rPr>
              <w:t>内　　　　　容</w:t>
            </w:r>
          </w:p>
        </w:tc>
        <w:tc>
          <w:tcPr>
            <w:tcW w:w="4500" w:type="dxa"/>
            <w:tcBorders>
              <w:bottom w:val="single" w:sz="4" w:space="0" w:color="auto"/>
            </w:tcBorders>
            <w:vAlign w:val="center"/>
          </w:tcPr>
          <w:p w14:paraId="7502E8E1" w14:textId="77777777" w:rsidR="001E2E7E" w:rsidRDefault="00000000">
            <w:pPr>
              <w:spacing w:line="360" w:lineRule="exact"/>
              <w:jc w:val="center"/>
              <w:rPr>
                <w:rFonts w:eastAsia="ＭＳ Ｐゴシック"/>
                <w:b/>
                <w:bCs/>
                <w:sz w:val="22"/>
              </w:rPr>
            </w:pPr>
            <w:r>
              <w:rPr>
                <w:rFonts w:eastAsia="ＭＳ Ｐゴシック" w:hint="eastAsia"/>
                <w:b/>
                <w:bCs/>
                <w:sz w:val="22"/>
              </w:rPr>
              <w:t>備　　　　考</w:t>
            </w:r>
          </w:p>
        </w:tc>
      </w:tr>
      <w:tr w:rsidR="001E2E7E" w14:paraId="015C9DDA" w14:textId="77777777">
        <w:trPr>
          <w:trHeight w:val="354"/>
        </w:trPr>
        <w:tc>
          <w:tcPr>
            <w:tcW w:w="4419" w:type="dxa"/>
            <w:tcBorders>
              <w:top w:val="single" w:sz="4" w:space="0" w:color="auto"/>
            </w:tcBorders>
          </w:tcPr>
          <w:p w14:paraId="06879671" w14:textId="77777777" w:rsidR="001E2E7E" w:rsidRDefault="00000000">
            <w:pPr>
              <w:pStyle w:val="a9"/>
              <w:spacing w:after="0" w:line="360" w:lineRule="exact"/>
              <w:ind w:leftChars="8" w:left="268" w:hangingChars="114" w:hanging="251"/>
              <w:rPr>
                <w:rFonts w:hAnsi="ＭＳ 明朝"/>
                <w:sz w:val="22"/>
              </w:rPr>
            </w:pPr>
            <w:r>
              <w:rPr>
                <w:rFonts w:hAnsi="ＭＳ 明朝" w:hint="eastAsia"/>
                <w:sz w:val="22"/>
              </w:rPr>
              <w:t>１．見直しの概要</w:t>
            </w:r>
          </w:p>
        </w:tc>
        <w:tc>
          <w:tcPr>
            <w:tcW w:w="8460" w:type="dxa"/>
            <w:tcBorders>
              <w:top w:val="single" w:sz="4" w:space="0" w:color="auto"/>
            </w:tcBorders>
          </w:tcPr>
          <w:p w14:paraId="1AA31178" w14:textId="77777777" w:rsidR="001E2E7E" w:rsidRDefault="001E2E7E">
            <w:pPr>
              <w:snapToGrid w:val="0"/>
              <w:spacing w:line="360" w:lineRule="exact"/>
              <w:ind w:rightChars="50" w:right="105"/>
              <w:rPr>
                <w:rFonts w:ascii="ＭＳ 明朝" w:hAnsi="ＭＳ 明朝"/>
                <w:sz w:val="22"/>
              </w:rPr>
            </w:pPr>
          </w:p>
        </w:tc>
        <w:tc>
          <w:tcPr>
            <w:tcW w:w="4500" w:type="dxa"/>
            <w:tcBorders>
              <w:top w:val="single" w:sz="4" w:space="0" w:color="auto"/>
            </w:tcBorders>
          </w:tcPr>
          <w:p w14:paraId="7CE1E6B5" w14:textId="77777777" w:rsidR="001E2E7E" w:rsidRDefault="001E2E7E">
            <w:pPr>
              <w:snapToGrid w:val="0"/>
              <w:spacing w:line="360" w:lineRule="exact"/>
              <w:ind w:left="84" w:rightChars="50" w:right="105" w:hangingChars="38" w:hanging="84"/>
              <w:rPr>
                <w:rFonts w:ascii="ＭＳ 明朝" w:hAnsi="ＭＳ 明朝"/>
                <w:sz w:val="22"/>
              </w:rPr>
            </w:pPr>
          </w:p>
        </w:tc>
      </w:tr>
      <w:tr w:rsidR="001E2E7E" w14:paraId="33AF8A7E" w14:textId="77777777">
        <w:trPr>
          <w:trHeight w:val="3305"/>
        </w:trPr>
        <w:tc>
          <w:tcPr>
            <w:tcW w:w="4419" w:type="dxa"/>
          </w:tcPr>
          <w:p w14:paraId="59205D7B" w14:textId="77777777" w:rsidR="001E2E7E" w:rsidRDefault="00000000">
            <w:pPr>
              <w:numPr>
                <w:ilvl w:val="0"/>
                <w:numId w:val="9"/>
              </w:numPr>
              <w:snapToGrid w:val="0"/>
              <w:spacing w:line="360" w:lineRule="exact"/>
              <w:ind w:rightChars="50" w:right="105"/>
              <w:rPr>
                <w:rFonts w:ascii="ＭＳ 明朝" w:hAnsi="ＭＳ 明朝"/>
                <w:sz w:val="22"/>
              </w:rPr>
            </w:pPr>
            <w:r>
              <w:rPr>
                <w:rFonts w:ascii="ＭＳ 明朝" w:hAnsi="ＭＳ 明朝" w:hint="eastAsia"/>
                <w:sz w:val="22"/>
              </w:rPr>
              <w:t xml:space="preserve"> フェニックス区分の指定条件の導入</w:t>
            </w:r>
          </w:p>
          <w:p w14:paraId="49AF14BF" w14:textId="77777777" w:rsidR="001E2E7E" w:rsidRDefault="001E2E7E">
            <w:pPr>
              <w:snapToGrid w:val="0"/>
              <w:spacing w:line="360" w:lineRule="exact"/>
              <w:ind w:rightChars="50" w:right="105"/>
              <w:rPr>
                <w:rFonts w:ascii="ＭＳ 明朝" w:hAnsi="ＭＳ 明朝"/>
                <w:sz w:val="22"/>
              </w:rPr>
            </w:pPr>
          </w:p>
        </w:tc>
        <w:tc>
          <w:tcPr>
            <w:tcW w:w="8460" w:type="dxa"/>
          </w:tcPr>
          <w:p w14:paraId="5CBBB941" w14:textId="77777777" w:rsidR="001E2E7E" w:rsidRDefault="00000000">
            <w:pPr>
              <w:snapToGrid w:val="0"/>
              <w:spacing w:line="360" w:lineRule="exact"/>
              <w:ind w:left="260" w:rightChars="50" w:right="105" w:hangingChars="118" w:hanging="260"/>
              <w:rPr>
                <w:rFonts w:ascii="ＭＳ 明朝" w:hAnsi="ＭＳ 明朝"/>
                <w:sz w:val="22"/>
              </w:rPr>
            </w:pPr>
            <w:r>
              <w:rPr>
                <w:rFonts w:ascii="ＭＳ 明朝" w:hAnsi="ＭＳ 明朝" w:hint="eastAsia"/>
                <w:sz w:val="22"/>
              </w:rPr>
              <w:t>○　破産手続き等を必要とするに至ったことを事由として、証券取引所を上場廃止となった発行会社の発行する株式等については、グリーンシート銘柄として取り扱えないものとする。ただし、当該手続き等が完了した後、当該発行会社の法人格が存続する場合に限り、当該発行会社の発行する株式等をフェニックス区分として取扱えることができることとする。</w:t>
            </w:r>
          </w:p>
          <w:p w14:paraId="28BED299" w14:textId="77777777" w:rsidR="001E2E7E" w:rsidRDefault="00000000">
            <w:pPr>
              <w:snapToGrid w:val="0"/>
              <w:spacing w:line="360" w:lineRule="exact"/>
              <w:ind w:left="260" w:rightChars="50" w:right="105" w:hangingChars="118" w:hanging="260"/>
              <w:rPr>
                <w:rFonts w:ascii="ＭＳ 明朝" w:hAnsi="ＭＳ 明朝"/>
                <w:sz w:val="22"/>
              </w:rPr>
            </w:pPr>
            <w:r>
              <w:rPr>
                <w:rFonts w:ascii="ＭＳ 明朝" w:hAnsi="ＭＳ 明朝" w:hint="eastAsia"/>
                <w:sz w:val="22"/>
              </w:rPr>
              <w:t>○　開示体制の不備及び法令違反又はそのおそれ（以下「開示体制の不備等」とする。）により上場廃止となった銘柄については、当該発行会社において、当該開示体制の不備等の状況が整備、解消され、開示体制等に問題がなくなっていることをフェニックス区分の指定条件とする。</w:t>
            </w:r>
          </w:p>
        </w:tc>
        <w:tc>
          <w:tcPr>
            <w:tcW w:w="4500" w:type="dxa"/>
          </w:tcPr>
          <w:p w14:paraId="3BA20535" w14:textId="77777777" w:rsidR="001E2E7E" w:rsidRDefault="00000000">
            <w:pPr>
              <w:snapToGrid w:val="0"/>
              <w:spacing w:line="360" w:lineRule="exact"/>
              <w:ind w:left="440" w:rightChars="50" w:right="105" w:hangingChars="200" w:hanging="440"/>
              <w:rPr>
                <w:rFonts w:ascii="ＭＳ 明朝" w:hAnsi="ＭＳ 明朝"/>
                <w:sz w:val="22"/>
              </w:rPr>
            </w:pPr>
            <w:r>
              <w:rPr>
                <w:rFonts w:ascii="ＭＳ 明朝" w:hAnsi="ＭＳ 明朝" w:hint="eastAsia"/>
                <w:sz w:val="22"/>
              </w:rPr>
              <w:t>・　「株式等」とは、</w:t>
            </w:r>
            <w:r>
              <w:rPr>
                <w:rFonts w:hAnsi="ＭＳ 明朝" w:hint="eastAsia"/>
                <w:sz w:val="22"/>
              </w:rPr>
              <w:t>株券、新株引受権証書、新株予約権証券及び新株予約権付社債券のことをいう。</w:t>
            </w:r>
          </w:p>
          <w:p w14:paraId="51AEA2FC" w14:textId="77777777" w:rsidR="001E2E7E" w:rsidRDefault="001E2E7E">
            <w:pPr>
              <w:snapToGrid w:val="0"/>
              <w:spacing w:line="360" w:lineRule="exact"/>
              <w:ind w:rightChars="50" w:right="105"/>
              <w:rPr>
                <w:rFonts w:ascii="ＭＳ 明朝" w:hAnsi="ＭＳ 明朝"/>
                <w:sz w:val="22"/>
              </w:rPr>
            </w:pPr>
          </w:p>
        </w:tc>
      </w:tr>
      <w:tr w:rsidR="001E2E7E" w14:paraId="0E4CA4DE" w14:textId="77777777">
        <w:trPr>
          <w:trHeight w:val="769"/>
        </w:trPr>
        <w:tc>
          <w:tcPr>
            <w:tcW w:w="4419" w:type="dxa"/>
          </w:tcPr>
          <w:p w14:paraId="7060E1A8" w14:textId="77777777" w:rsidR="001E2E7E" w:rsidRDefault="00000000">
            <w:pPr>
              <w:numPr>
                <w:ilvl w:val="0"/>
                <w:numId w:val="9"/>
              </w:numPr>
              <w:snapToGrid w:val="0"/>
              <w:spacing w:line="360" w:lineRule="exact"/>
              <w:ind w:rightChars="50" w:right="105"/>
              <w:rPr>
                <w:rFonts w:ascii="ＭＳ 明朝" w:hAnsi="ＭＳ 明朝"/>
                <w:sz w:val="22"/>
              </w:rPr>
            </w:pPr>
            <w:r>
              <w:rPr>
                <w:rFonts w:ascii="ＭＳ 明朝" w:hAnsi="ＭＳ 明朝" w:hint="eastAsia"/>
                <w:sz w:val="22"/>
              </w:rPr>
              <w:t xml:space="preserve">　エマージング区分指定銘柄のオーディナリー区分指定銘柄への移行基準の追加及び判定方法の変更</w:t>
            </w:r>
          </w:p>
          <w:p w14:paraId="4FBDDAB9" w14:textId="77777777" w:rsidR="001E2E7E" w:rsidRDefault="001E2E7E">
            <w:pPr>
              <w:snapToGrid w:val="0"/>
              <w:spacing w:line="360" w:lineRule="exact"/>
              <w:ind w:left="164" w:rightChars="50" w:right="105"/>
              <w:rPr>
                <w:rFonts w:ascii="ＭＳ 明朝" w:hAnsi="ＭＳ 明朝"/>
                <w:sz w:val="22"/>
              </w:rPr>
            </w:pPr>
          </w:p>
        </w:tc>
        <w:tc>
          <w:tcPr>
            <w:tcW w:w="8460" w:type="dxa"/>
          </w:tcPr>
          <w:p w14:paraId="417CCC3D" w14:textId="77777777" w:rsidR="001E2E7E" w:rsidRDefault="00000000">
            <w:pPr>
              <w:snapToGrid w:val="0"/>
              <w:spacing w:line="360" w:lineRule="exact"/>
              <w:ind w:left="273" w:rightChars="50" w:right="105" w:hangingChars="124" w:hanging="273"/>
              <w:rPr>
                <w:rFonts w:ascii="ＭＳ 明朝" w:hAnsi="ＭＳ 明朝"/>
                <w:sz w:val="22"/>
              </w:rPr>
            </w:pPr>
            <w:r>
              <w:rPr>
                <w:rFonts w:ascii="ＭＳ 明朝" w:hAnsi="ＭＳ 明朝" w:hint="eastAsia"/>
                <w:sz w:val="22"/>
              </w:rPr>
              <w:t>○　エマージング区分に指定されている銘柄については、エマージング区分への指定日から1年を経過した日を含む事業年度の末日において、指定の際に会社内容説明書に記載した業績に関する計画数値で示した事業の成長性の５割以上が達成されていない場合は、オーディナリー区分に移行する判定基準を設けているが、当該基準に加え、新たに「売上高（又は、営業収益）」、「営業利益」を判定基準の項目に加える。</w:t>
            </w:r>
          </w:p>
          <w:p w14:paraId="6BB4229D" w14:textId="77777777" w:rsidR="001E2E7E" w:rsidRDefault="00000000">
            <w:pPr>
              <w:snapToGrid w:val="0"/>
              <w:spacing w:line="360" w:lineRule="exact"/>
              <w:ind w:leftChars="130" w:left="273" w:rightChars="50" w:right="105" w:firstLineChars="100" w:firstLine="220"/>
              <w:rPr>
                <w:rFonts w:ascii="ＭＳ 明朝" w:hAnsi="ＭＳ 明朝"/>
                <w:sz w:val="22"/>
              </w:rPr>
            </w:pPr>
            <w:r>
              <w:rPr>
                <w:rFonts w:ascii="ＭＳ 明朝" w:hAnsi="ＭＳ 明朝" w:hint="eastAsia"/>
                <w:sz w:val="22"/>
              </w:rPr>
              <w:t>また、指定後最初に行う判定以後２事業年度毎に行う事業の成長性の判断の際には「判定を実施することとなる事業年度末と当該事業年度の直前事業年度末との経営成績の比較」を新たに判定方法として追加することとする。</w:t>
            </w:r>
          </w:p>
          <w:p w14:paraId="78A0D4CC" w14:textId="77777777" w:rsidR="001E2E7E" w:rsidRDefault="00000000">
            <w:pPr>
              <w:snapToGrid w:val="0"/>
              <w:spacing w:line="360" w:lineRule="exact"/>
              <w:ind w:leftChars="123" w:left="258" w:rightChars="50" w:right="105" w:firstLineChars="86" w:firstLine="189"/>
              <w:rPr>
                <w:rFonts w:ascii="ＭＳ 明朝" w:hAnsi="ＭＳ 明朝"/>
                <w:sz w:val="22"/>
              </w:rPr>
            </w:pPr>
            <w:r>
              <w:rPr>
                <w:rFonts w:ascii="ＭＳ 明朝" w:hAnsi="ＭＳ 明朝" w:hint="eastAsia"/>
                <w:sz w:val="22"/>
              </w:rPr>
              <w:t>なお、新たに追加することとなる判定基準の項目である「売上高」及び「営業利益」の具体的な判定方法については、現行規則における判定基準（第13条第</w:t>
            </w:r>
            <w:r>
              <w:rPr>
                <w:rFonts w:ascii="ＭＳ 明朝" w:hAnsi="ＭＳ 明朝" w:hint="eastAsia"/>
                <w:sz w:val="22"/>
              </w:rPr>
              <w:lastRenderedPageBreak/>
              <w:t>１項の規定による判定の基準（別表））と同様の取扱いとする。</w:t>
            </w:r>
          </w:p>
        </w:tc>
        <w:tc>
          <w:tcPr>
            <w:tcW w:w="4500" w:type="dxa"/>
          </w:tcPr>
          <w:p w14:paraId="4D108860" w14:textId="77777777" w:rsidR="001E2E7E" w:rsidRDefault="00000000">
            <w:pPr>
              <w:snapToGrid w:val="0"/>
              <w:spacing w:line="360" w:lineRule="exact"/>
              <w:ind w:left="460" w:rightChars="50" w:right="105" w:hangingChars="209" w:hanging="460"/>
              <w:rPr>
                <w:rFonts w:ascii="ＭＳ 明朝" w:hAnsi="ＭＳ 明朝"/>
                <w:sz w:val="22"/>
              </w:rPr>
            </w:pPr>
            <w:r>
              <w:rPr>
                <w:rFonts w:ascii="ＭＳ 明朝" w:hAnsi="ＭＳ 明朝" w:hint="eastAsia"/>
                <w:sz w:val="22"/>
              </w:rPr>
              <w:lastRenderedPageBreak/>
              <w:t>・　ここでいう「経営成績の比較」とは、判定時における「売上高」、「営業利益」、「経常利益」の比較のことを指し、各項目のいずれかが前期比増であることをオーディナリー区分への変更手続きを要しないことの条件とする。</w:t>
            </w:r>
          </w:p>
        </w:tc>
      </w:tr>
      <w:tr w:rsidR="001E2E7E" w14:paraId="4ACE17FD" w14:textId="77777777">
        <w:trPr>
          <w:trHeight w:val="2566"/>
        </w:trPr>
        <w:tc>
          <w:tcPr>
            <w:tcW w:w="4419" w:type="dxa"/>
            <w:tcBorders>
              <w:bottom w:val="nil"/>
            </w:tcBorders>
          </w:tcPr>
          <w:p w14:paraId="2D5D91E5" w14:textId="77777777" w:rsidR="001E2E7E" w:rsidRDefault="00000000">
            <w:pPr>
              <w:numPr>
                <w:ilvl w:val="0"/>
                <w:numId w:val="9"/>
              </w:numPr>
              <w:snapToGrid w:val="0"/>
              <w:spacing w:line="360" w:lineRule="exact"/>
              <w:ind w:rightChars="50" w:right="105"/>
              <w:rPr>
                <w:rFonts w:ascii="ＭＳ 明朝" w:hAnsi="ＭＳ 明朝"/>
                <w:sz w:val="22"/>
              </w:rPr>
            </w:pPr>
            <w:r>
              <w:rPr>
                <w:rFonts w:ascii="ＭＳ 明朝" w:hAnsi="ＭＳ 明朝" w:hint="eastAsia"/>
                <w:sz w:val="22"/>
              </w:rPr>
              <w:t>指定取消しに係る手続き</w:t>
            </w:r>
          </w:p>
        </w:tc>
        <w:tc>
          <w:tcPr>
            <w:tcW w:w="8460" w:type="dxa"/>
            <w:tcBorders>
              <w:bottom w:val="nil"/>
            </w:tcBorders>
          </w:tcPr>
          <w:p w14:paraId="79B2CF56" w14:textId="77777777" w:rsidR="001E2E7E" w:rsidRDefault="00000000">
            <w:pPr>
              <w:snapToGrid w:val="0"/>
              <w:spacing w:line="360" w:lineRule="exact"/>
              <w:ind w:left="220" w:rightChars="50" w:right="105" w:hangingChars="100" w:hanging="220"/>
              <w:rPr>
                <w:rFonts w:ascii="ＭＳ 明朝" w:hAnsi="ＭＳ 明朝"/>
                <w:sz w:val="22"/>
              </w:rPr>
            </w:pPr>
            <w:r>
              <w:rPr>
                <w:rFonts w:ascii="ＭＳ 明朝" w:hAnsi="ＭＳ 明朝" w:hint="eastAsia"/>
                <w:sz w:val="22"/>
              </w:rPr>
              <w:t>○　取扱会員より、指定取消しの届出がなされた結果、グリーンシート銘柄の指定が取り消される場合、原則、届出後１ヵ月後にその指定を取り消すこととする。なお、銘柄の指定を取り消すにあたり、当該銘柄の取扱会員及び準取扱会員は、当該銘柄の指定取消しがなされるまでの間、原則、売買及び受渡しについて継続して行わなければならないこととする。（ただし、本協会が売買停止措置を講じた場合には、この限りでない。）</w:t>
            </w:r>
          </w:p>
        </w:tc>
        <w:tc>
          <w:tcPr>
            <w:tcW w:w="4500" w:type="dxa"/>
            <w:tcBorders>
              <w:bottom w:val="nil"/>
            </w:tcBorders>
          </w:tcPr>
          <w:p w14:paraId="5BC90B94" w14:textId="77777777" w:rsidR="001E2E7E" w:rsidRDefault="00000000">
            <w:pPr>
              <w:snapToGrid w:val="0"/>
              <w:spacing w:line="360" w:lineRule="exact"/>
              <w:ind w:rightChars="50" w:right="105"/>
              <w:rPr>
                <w:rFonts w:ascii="ＭＳ 明朝" w:hAnsi="ＭＳ 明朝"/>
                <w:sz w:val="22"/>
              </w:rPr>
            </w:pPr>
            <w:r>
              <w:rPr>
                <w:rFonts w:ascii="ＭＳ 明朝" w:hAnsi="ＭＳ 明朝" w:hint="eastAsia"/>
                <w:sz w:val="22"/>
              </w:rPr>
              <w:t>・　グリーンシート銘柄が指定が取消されない場合における当該グリーンシート銘柄に係る取扱会員の指定取消しについては、従前どおり、届出後、原則10営業日後に当該取扱会員の指定を取り消すこととする。</w:t>
            </w:r>
          </w:p>
        </w:tc>
      </w:tr>
      <w:tr w:rsidR="001E2E7E" w14:paraId="25DBAD2C" w14:textId="77777777">
        <w:trPr>
          <w:trHeight w:val="997"/>
        </w:trPr>
        <w:tc>
          <w:tcPr>
            <w:tcW w:w="4419" w:type="dxa"/>
            <w:tcBorders>
              <w:bottom w:val="nil"/>
            </w:tcBorders>
          </w:tcPr>
          <w:p w14:paraId="5F7B1BFA" w14:textId="77777777" w:rsidR="001E2E7E" w:rsidRDefault="00000000">
            <w:pPr>
              <w:numPr>
                <w:ilvl w:val="0"/>
                <w:numId w:val="9"/>
              </w:numPr>
              <w:snapToGrid w:val="0"/>
              <w:spacing w:line="360" w:lineRule="exact"/>
              <w:ind w:rightChars="50" w:right="105"/>
              <w:rPr>
                <w:rFonts w:ascii="ＭＳ 明朝" w:hAnsi="ＭＳ 明朝"/>
                <w:sz w:val="22"/>
              </w:rPr>
            </w:pPr>
            <w:r>
              <w:rPr>
                <w:rFonts w:ascii="ＭＳ 明朝" w:hAnsi="ＭＳ 明朝" w:hint="eastAsia"/>
                <w:sz w:val="22"/>
              </w:rPr>
              <w:t xml:space="preserve">　その他</w:t>
            </w:r>
          </w:p>
          <w:p w14:paraId="10ED2236" w14:textId="77777777" w:rsidR="001E2E7E" w:rsidRDefault="001E2E7E">
            <w:pPr>
              <w:snapToGrid w:val="0"/>
              <w:spacing w:line="360" w:lineRule="exact"/>
              <w:ind w:left="164" w:rightChars="50" w:right="105"/>
              <w:rPr>
                <w:rFonts w:ascii="ＭＳ 明朝" w:hAnsi="ＭＳ 明朝"/>
                <w:sz w:val="22"/>
              </w:rPr>
            </w:pPr>
          </w:p>
        </w:tc>
        <w:tc>
          <w:tcPr>
            <w:tcW w:w="8460" w:type="dxa"/>
            <w:tcBorders>
              <w:bottom w:val="nil"/>
            </w:tcBorders>
          </w:tcPr>
          <w:p w14:paraId="744623AB" w14:textId="77777777" w:rsidR="001E2E7E" w:rsidRDefault="00000000">
            <w:pPr>
              <w:snapToGrid w:val="0"/>
              <w:spacing w:line="360" w:lineRule="exact"/>
              <w:ind w:rightChars="50" w:right="105"/>
              <w:rPr>
                <w:rFonts w:ascii="ＭＳ 明朝" w:hAnsi="ＭＳ 明朝"/>
                <w:sz w:val="22"/>
              </w:rPr>
            </w:pPr>
            <w:r>
              <w:rPr>
                <w:rFonts w:ascii="ＭＳ 明朝" w:hAnsi="ＭＳ 明朝" w:hint="eastAsia"/>
                <w:sz w:val="22"/>
              </w:rPr>
              <w:t>○　その他所要の整備を行う。</w:t>
            </w:r>
          </w:p>
          <w:p w14:paraId="41D33DD9" w14:textId="77777777" w:rsidR="001E2E7E" w:rsidRDefault="001E2E7E">
            <w:pPr>
              <w:snapToGrid w:val="0"/>
              <w:spacing w:line="360" w:lineRule="exact"/>
              <w:ind w:rightChars="50" w:right="105"/>
              <w:rPr>
                <w:rFonts w:ascii="ＭＳ 明朝" w:hAnsi="ＭＳ 明朝"/>
                <w:sz w:val="22"/>
              </w:rPr>
            </w:pPr>
          </w:p>
        </w:tc>
        <w:tc>
          <w:tcPr>
            <w:tcW w:w="4500" w:type="dxa"/>
            <w:tcBorders>
              <w:bottom w:val="nil"/>
            </w:tcBorders>
          </w:tcPr>
          <w:p w14:paraId="5FF888DE" w14:textId="77777777" w:rsidR="001E2E7E" w:rsidRDefault="001E2E7E">
            <w:pPr>
              <w:snapToGrid w:val="0"/>
              <w:spacing w:line="360" w:lineRule="exact"/>
              <w:ind w:rightChars="50" w:right="105"/>
              <w:rPr>
                <w:rFonts w:ascii="ＭＳ 明朝" w:hAnsi="ＭＳ 明朝"/>
                <w:sz w:val="22"/>
              </w:rPr>
            </w:pPr>
          </w:p>
          <w:p w14:paraId="5CA7A116" w14:textId="77777777" w:rsidR="001E2E7E" w:rsidRDefault="001E2E7E">
            <w:pPr>
              <w:snapToGrid w:val="0"/>
              <w:spacing w:line="360" w:lineRule="exact"/>
              <w:ind w:rightChars="50" w:right="105"/>
              <w:rPr>
                <w:rFonts w:ascii="ＭＳ 明朝" w:hAnsi="ＭＳ 明朝"/>
                <w:sz w:val="22"/>
              </w:rPr>
            </w:pPr>
          </w:p>
        </w:tc>
      </w:tr>
      <w:tr w:rsidR="001E2E7E" w14:paraId="6C729B2C" w14:textId="77777777">
        <w:trPr>
          <w:trHeight w:val="1200"/>
        </w:trPr>
        <w:tc>
          <w:tcPr>
            <w:tcW w:w="4419" w:type="dxa"/>
            <w:tcBorders>
              <w:top w:val="nil"/>
            </w:tcBorders>
          </w:tcPr>
          <w:p w14:paraId="778F4533" w14:textId="77777777" w:rsidR="001E2E7E" w:rsidRDefault="00000000">
            <w:pPr>
              <w:snapToGrid w:val="0"/>
              <w:spacing w:line="360" w:lineRule="exact"/>
              <w:ind w:left="187" w:rightChars="50" w:right="105" w:hangingChars="85" w:hanging="187"/>
              <w:rPr>
                <w:rFonts w:ascii="ＭＳ 明朝" w:hAnsi="ＭＳ 明朝"/>
                <w:sz w:val="22"/>
              </w:rPr>
            </w:pPr>
            <w:r>
              <w:rPr>
                <w:rFonts w:ascii="ＭＳ 明朝" w:hAnsi="ＭＳ 明朝" w:hint="eastAsia"/>
                <w:sz w:val="22"/>
              </w:rPr>
              <w:t>２．施行日</w:t>
            </w:r>
          </w:p>
        </w:tc>
        <w:tc>
          <w:tcPr>
            <w:tcW w:w="8460" w:type="dxa"/>
            <w:tcBorders>
              <w:top w:val="nil"/>
            </w:tcBorders>
          </w:tcPr>
          <w:p w14:paraId="4E5EBC06" w14:textId="77777777" w:rsidR="001E2E7E" w:rsidRDefault="00000000">
            <w:pPr>
              <w:snapToGrid w:val="0"/>
              <w:spacing w:line="360" w:lineRule="exact"/>
              <w:ind w:rightChars="50" w:right="105"/>
              <w:rPr>
                <w:rFonts w:ascii="ＭＳ 明朝" w:hAnsi="ＭＳ 明朝"/>
                <w:sz w:val="22"/>
              </w:rPr>
            </w:pPr>
            <w:r>
              <w:rPr>
                <w:rFonts w:ascii="ＭＳ 明朝" w:hAnsi="ＭＳ 明朝" w:hint="eastAsia"/>
                <w:sz w:val="22"/>
              </w:rPr>
              <w:t>○　この改正は、平成18年４月１日から施行する。</w:t>
            </w:r>
          </w:p>
          <w:p w14:paraId="23600DD2" w14:textId="77777777" w:rsidR="001E2E7E" w:rsidRDefault="001E2E7E">
            <w:pPr>
              <w:snapToGrid w:val="0"/>
              <w:spacing w:line="360" w:lineRule="exact"/>
              <w:ind w:rightChars="50" w:right="105"/>
              <w:rPr>
                <w:rFonts w:ascii="ＭＳ 明朝" w:hAnsi="ＭＳ 明朝"/>
                <w:sz w:val="22"/>
              </w:rPr>
            </w:pPr>
          </w:p>
        </w:tc>
        <w:tc>
          <w:tcPr>
            <w:tcW w:w="4500" w:type="dxa"/>
            <w:tcBorders>
              <w:top w:val="nil"/>
            </w:tcBorders>
          </w:tcPr>
          <w:p w14:paraId="36FEEA63" w14:textId="77777777" w:rsidR="001E2E7E" w:rsidRDefault="001E2E7E">
            <w:pPr>
              <w:snapToGrid w:val="0"/>
              <w:spacing w:line="360" w:lineRule="exact"/>
              <w:ind w:left="84" w:rightChars="50" w:right="105" w:hangingChars="38" w:hanging="84"/>
              <w:rPr>
                <w:rFonts w:ascii="ＭＳ 明朝" w:hAnsi="ＭＳ 明朝"/>
                <w:sz w:val="22"/>
              </w:rPr>
            </w:pPr>
          </w:p>
        </w:tc>
      </w:tr>
    </w:tbl>
    <w:p w14:paraId="03B7E491" w14:textId="77777777" w:rsidR="001E2E7E" w:rsidRDefault="001E2E7E">
      <w:pPr>
        <w:snapToGrid w:val="0"/>
        <w:spacing w:line="360" w:lineRule="exact"/>
        <w:ind w:rightChars="50" w:right="105"/>
        <w:rPr>
          <w:rFonts w:eastAsia="ＭＳ Ｐ明朝"/>
          <w:kern w:val="0"/>
        </w:rPr>
      </w:pPr>
    </w:p>
    <w:p w14:paraId="40C852A3" w14:textId="77777777" w:rsidR="001E2E7E" w:rsidRDefault="001E2E7E">
      <w:pPr>
        <w:snapToGrid w:val="0"/>
        <w:spacing w:line="360" w:lineRule="exact"/>
        <w:ind w:rightChars="50" w:right="105"/>
        <w:rPr>
          <w:rFonts w:eastAsia="ＭＳ Ｐ明朝"/>
          <w:kern w:val="0"/>
        </w:rPr>
      </w:pPr>
    </w:p>
    <w:p w14:paraId="60170763" w14:textId="77777777" w:rsidR="001E2E7E" w:rsidRDefault="001E2E7E">
      <w:pPr>
        <w:snapToGrid w:val="0"/>
        <w:spacing w:line="360" w:lineRule="exact"/>
        <w:ind w:rightChars="50" w:right="105"/>
        <w:rPr>
          <w:rFonts w:eastAsia="ＭＳ Ｐ明朝"/>
          <w:kern w:val="0"/>
        </w:rPr>
      </w:pPr>
    </w:p>
    <w:p w14:paraId="6E834870" w14:textId="77777777" w:rsidR="001E2E7E" w:rsidRDefault="001E2E7E">
      <w:pPr>
        <w:snapToGrid w:val="0"/>
        <w:spacing w:line="360" w:lineRule="exact"/>
        <w:ind w:rightChars="50" w:right="105"/>
        <w:rPr>
          <w:rFonts w:eastAsia="ＭＳ Ｐ明朝"/>
          <w:kern w:val="0"/>
        </w:rPr>
      </w:pPr>
    </w:p>
    <w:tbl>
      <w:tblPr>
        <w:tblpPr w:leftFromText="142" w:rightFromText="142" w:vertAnchor="text" w:horzAnchor="margin" w:tblpXSpec="center"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1E2E7E" w14:paraId="7CB95686" w14:textId="77777777">
        <w:trPr>
          <w:trHeight w:val="650"/>
        </w:trPr>
        <w:tc>
          <w:tcPr>
            <w:tcW w:w="10260" w:type="dxa"/>
          </w:tcPr>
          <w:p w14:paraId="3D7EEAF9" w14:textId="77777777" w:rsidR="001E2E7E" w:rsidRDefault="00000000">
            <w:pPr>
              <w:spacing w:line="360" w:lineRule="exact"/>
              <w:rPr>
                <w:rFonts w:eastAsia="ＭＳ Ｐ明朝"/>
              </w:rPr>
            </w:pPr>
            <w:r>
              <w:rPr>
                <w:rFonts w:eastAsia="ＭＳ Ｐ明朝" w:hint="eastAsia"/>
              </w:rPr>
              <w:t>内容に関する問い合わせ先：日本証券業協会</w:t>
            </w:r>
          </w:p>
          <w:p w14:paraId="490916B7" w14:textId="77777777" w:rsidR="001E2E7E" w:rsidRDefault="00000000">
            <w:pPr>
              <w:spacing w:line="360" w:lineRule="exact"/>
              <w:ind w:leftChars="210" w:left="441"/>
              <w:rPr>
                <w:rFonts w:eastAsia="ＭＳ Ｐ明朝"/>
              </w:rPr>
            </w:pPr>
            <w:r>
              <w:rPr>
                <w:rFonts w:eastAsia="ＭＳ Ｐ明朝" w:hint="eastAsia"/>
              </w:rPr>
              <w:t>エクイティ市場部　　　　　担当：佐々木、稲川、水野（</w:t>
            </w:r>
            <w:r>
              <w:rPr>
                <w:rFonts w:eastAsia="ＭＳ Ｐ明朝" w:hint="eastAsia"/>
              </w:rPr>
              <w:t>TEL:03</w:t>
            </w:r>
            <w:r>
              <w:rPr>
                <w:rFonts w:eastAsia="ＭＳ Ｐ明朝" w:hint="eastAsia"/>
              </w:rPr>
              <w:t>－</w:t>
            </w:r>
            <w:r>
              <w:rPr>
                <w:rFonts w:eastAsia="ＭＳ Ｐ明朝" w:hint="eastAsia"/>
              </w:rPr>
              <w:t>3667</w:t>
            </w:r>
            <w:r>
              <w:rPr>
                <w:rFonts w:eastAsia="ＭＳ Ｐ明朝" w:hint="eastAsia"/>
              </w:rPr>
              <w:t>－</w:t>
            </w:r>
            <w:r>
              <w:rPr>
                <w:rFonts w:eastAsia="ＭＳ Ｐ明朝" w:hint="eastAsia"/>
              </w:rPr>
              <w:t>8480</w:t>
            </w:r>
            <w:r>
              <w:rPr>
                <w:rFonts w:eastAsia="ＭＳ Ｐ明朝" w:hint="eastAsia"/>
              </w:rPr>
              <w:t>）</w:t>
            </w:r>
          </w:p>
        </w:tc>
      </w:tr>
    </w:tbl>
    <w:p w14:paraId="6D395008" w14:textId="77777777" w:rsidR="001E2E7E" w:rsidRDefault="001E2E7E">
      <w:pPr>
        <w:snapToGrid w:val="0"/>
        <w:spacing w:line="360" w:lineRule="exact"/>
        <w:ind w:rightChars="50" w:right="105"/>
        <w:rPr>
          <w:rFonts w:eastAsia="ＭＳ Ｐ明朝"/>
          <w:kern w:val="0"/>
        </w:rPr>
      </w:pPr>
    </w:p>
    <w:p w14:paraId="4AC03EC3" w14:textId="77777777" w:rsidR="001E2E7E" w:rsidRDefault="001E2E7E">
      <w:pPr>
        <w:snapToGrid w:val="0"/>
        <w:spacing w:line="360" w:lineRule="exact"/>
        <w:ind w:rightChars="50" w:right="105"/>
        <w:rPr>
          <w:rFonts w:eastAsia="ＭＳ Ｐ明朝"/>
          <w:kern w:val="0"/>
        </w:rPr>
      </w:pPr>
    </w:p>
    <w:tbl>
      <w:tblPr>
        <w:tblpPr w:leftFromText="142" w:rightFromText="142" w:vertAnchor="text" w:horzAnchor="margin" w:tblpXSpec="center" w:tblpY="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1E2E7E" w14:paraId="285435AF" w14:textId="77777777">
        <w:tc>
          <w:tcPr>
            <w:tcW w:w="8640" w:type="dxa"/>
          </w:tcPr>
          <w:p w14:paraId="4C34A26B" w14:textId="77777777" w:rsidR="001E2E7E" w:rsidRDefault="00000000">
            <w:pPr>
              <w:snapToGrid w:val="0"/>
              <w:spacing w:line="360" w:lineRule="exact"/>
              <w:ind w:rightChars="50" w:right="105"/>
              <w:rPr>
                <w:rFonts w:ascii="ＭＳ 明朝" w:hAnsi="ＭＳ 明朝"/>
              </w:rPr>
            </w:pPr>
            <w:r>
              <w:rPr>
                <w:rFonts w:ascii="ＭＳ 明朝" w:hAnsi="ＭＳ 明朝" w:hint="eastAsia"/>
              </w:rPr>
              <w:t>パブリック・コメント・スケジュール</w:t>
            </w:r>
          </w:p>
          <w:p w14:paraId="1A47CC13" w14:textId="77777777" w:rsidR="001E2E7E" w:rsidRDefault="00000000">
            <w:pPr>
              <w:snapToGrid w:val="0"/>
              <w:spacing w:line="360" w:lineRule="exact"/>
              <w:ind w:leftChars="124" w:left="260" w:rightChars="50" w:right="105"/>
              <w:rPr>
                <w:rFonts w:ascii="ＭＳ 明朝" w:hAnsi="ＭＳ 明朝"/>
              </w:rPr>
            </w:pPr>
            <w:r>
              <w:rPr>
                <w:rFonts w:ascii="ＭＳ 明朝" w:hAnsi="ＭＳ 明朝" w:hint="eastAsia"/>
              </w:rPr>
              <w:t>募集期間：平成18年２月17日から平成18年３月２日午後5時00分まで（必着）</w:t>
            </w:r>
          </w:p>
          <w:p w14:paraId="4F6CA947" w14:textId="77777777" w:rsidR="001E2E7E" w:rsidRDefault="00000000">
            <w:pPr>
              <w:snapToGrid w:val="0"/>
              <w:spacing w:line="360" w:lineRule="exact"/>
              <w:ind w:leftChars="124" w:left="260" w:rightChars="50" w:right="105"/>
              <w:rPr>
                <w:rFonts w:ascii="ＭＳ 明朝" w:hAnsi="ＭＳ 明朝"/>
              </w:rPr>
            </w:pPr>
            <w:r>
              <w:rPr>
                <w:rFonts w:ascii="ＭＳ 明朝" w:hAnsi="ＭＳ 明朝" w:hint="eastAsia"/>
              </w:rPr>
              <w:t>パブリック・コメントの募集方法：郵便又は電子メールにより募集</w:t>
            </w:r>
          </w:p>
          <w:p w14:paraId="16A6E15C" w14:textId="77777777" w:rsidR="001E2E7E" w:rsidRDefault="00000000">
            <w:pPr>
              <w:snapToGrid w:val="0"/>
              <w:spacing w:line="360" w:lineRule="exact"/>
              <w:ind w:leftChars="210" w:left="441" w:rightChars="50" w:right="105"/>
              <w:rPr>
                <w:rFonts w:ascii="ＭＳ 明朝" w:hAnsi="ＭＳ 明朝"/>
              </w:rPr>
            </w:pPr>
            <w:r>
              <w:rPr>
                <w:rFonts w:ascii="ＭＳ 明朝" w:hAnsi="ＭＳ 明朝" w:hint="eastAsia"/>
              </w:rPr>
              <w:t>郵便の場合：〒103-0025　東京都中央区日本橋茅場町１－５－８</w:t>
            </w:r>
          </w:p>
          <w:p w14:paraId="1B2054B9" w14:textId="77777777" w:rsidR="001E2E7E" w:rsidRDefault="00000000">
            <w:pPr>
              <w:snapToGrid w:val="0"/>
              <w:spacing w:line="360" w:lineRule="exact"/>
              <w:ind w:leftChars="1581" w:left="3320" w:rightChars="50" w:right="105"/>
              <w:rPr>
                <w:rFonts w:ascii="ＭＳ 明朝" w:hAnsi="ＭＳ 明朝"/>
              </w:rPr>
            </w:pPr>
            <w:r>
              <w:rPr>
                <w:rFonts w:ascii="ＭＳ 明朝" w:hAnsi="ＭＳ 明朝" w:hint="eastAsia"/>
              </w:rPr>
              <w:t>日本証券業協会総務部　宛</w:t>
            </w:r>
          </w:p>
          <w:p w14:paraId="425F0FEE" w14:textId="77777777" w:rsidR="001E2E7E" w:rsidRDefault="00000000">
            <w:pPr>
              <w:snapToGrid w:val="0"/>
              <w:spacing w:line="360" w:lineRule="exact"/>
              <w:ind w:leftChars="210" w:left="441" w:rightChars="50" w:right="105"/>
              <w:rPr>
                <w:rFonts w:ascii="ＭＳ 明朝" w:hAnsi="ＭＳ 明朝"/>
              </w:rPr>
            </w:pPr>
            <w:r>
              <w:rPr>
                <w:rFonts w:ascii="ＭＳ 明朝" w:hAnsi="ＭＳ 明朝" w:hint="eastAsia"/>
              </w:rPr>
              <w:t>電子メールの場合：</w:t>
            </w:r>
            <w:hyperlink r:id="rId7" w:history="1">
              <w:r>
                <w:rPr>
                  <w:rStyle w:val="aa"/>
                  <w:rFonts w:ascii="ＭＳ 明朝" w:hAnsi="ＭＳ 明朝" w:hint="eastAsia"/>
                </w:rPr>
                <w:t>public@wan.jsda.or.jp</w:t>
              </w:r>
            </w:hyperlink>
          </w:p>
          <w:p w14:paraId="53F2E551" w14:textId="77777777" w:rsidR="001E2E7E" w:rsidRDefault="00000000">
            <w:pPr>
              <w:snapToGrid w:val="0"/>
              <w:spacing w:line="360" w:lineRule="exact"/>
              <w:ind w:rightChars="50" w:right="105"/>
              <w:jc w:val="right"/>
              <w:rPr>
                <w:rFonts w:ascii="ＭＳ 明朝" w:hAnsi="ＭＳ 明朝"/>
              </w:rPr>
            </w:pPr>
            <w:r>
              <w:rPr>
                <w:rFonts w:ascii="ＭＳ 明朝" w:hAnsi="ＭＳ 明朝" w:hint="eastAsia"/>
              </w:rPr>
              <w:t>（注）住所・氏名・会社名等連絡先を明記の上、御提出ください。</w:t>
            </w:r>
          </w:p>
        </w:tc>
      </w:tr>
    </w:tbl>
    <w:p w14:paraId="419C4B92" w14:textId="77777777" w:rsidR="001E2E7E" w:rsidRDefault="001E2E7E">
      <w:pPr>
        <w:snapToGrid w:val="0"/>
        <w:spacing w:line="360" w:lineRule="exact"/>
        <w:ind w:rightChars="50" w:right="105"/>
        <w:rPr>
          <w:rFonts w:eastAsia="ＭＳ Ｐ明朝"/>
          <w:kern w:val="0"/>
        </w:rPr>
      </w:pPr>
    </w:p>
    <w:p w14:paraId="240C0771" w14:textId="77777777" w:rsidR="001E2E7E" w:rsidRDefault="001E2E7E">
      <w:pPr>
        <w:snapToGrid w:val="0"/>
        <w:spacing w:line="360" w:lineRule="exact"/>
        <w:ind w:rightChars="50" w:right="105"/>
        <w:rPr>
          <w:rFonts w:eastAsia="ＭＳ Ｐ明朝"/>
          <w:kern w:val="0"/>
        </w:rPr>
      </w:pPr>
    </w:p>
    <w:p w14:paraId="7C864700" w14:textId="77777777" w:rsidR="001E2E7E" w:rsidRDefault="001E2E7E">
      <w:pPr>
        <w:snapToGrid w:val="0"/>
        <w:spacing w:line="360" w:lineRule="exact"/>
        <w:ind w:rightChars="50" w:right="105"/>
        <w:rPr>
          <w:rFonts w:eastAsia="ＭＳ Ｐ明朝"/>
          <w:kern w:val="0"/>
        </w:rPr>
      </w:pPr>
    </w:p>
    <w:p w14:paraId="465EB9BE" w14:textId="77777777" w:rsidR="00853B50" w:rsidRDefault="00853B50"/>
    <w:sectPr w:rsidR="00853B50">
      <w:headerReference w:type="default" r:id="rId8"/>
      <w:footerReference w:type="even" r:id="rId9"/>
      <w:footerReference w:type="default" r:id="rId10"/>
      <w:pgSz w:w="20639" w:h="14572" w:orient="landscape" w:code="12"/>
      <w:pgMar w:top="1418" w:right="1701" w:bottom="1418" w:left="1701" w:header="6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1933" w14:textId="77777777" w:rsidR="0097102B" w:rsidRDefault="0097102B">
      <w:r>
        <w:separator/>
      </w:r>
    </w:p>
  </w:endnote>
  <w:endnote w:type="continuationSeparator" w:id="0">
    <w:p w14:paraId="7487D14A" w14:textId="77777777" w:rsidR="0097102B" w:rsidRDefault="0097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4970" w14:textId="77777777" w:rsidR="001E2E7E" w:rsidRDefault="000000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FE1DA3" w14:textId="77777777" w:rsidR="001E2E7E" w:rsidRDefault="001E2E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A74C" w14:textId="77777777" w:rsidR="001E2E7E" w:rsidRDefault="00000000">
    <w:pPr>
      <w:pStyle w:val="a4"/>
      <w:jc w:val="center"/>
      <w:rPr>
        <w:rFonts w:ascii="ＭＳ ゴシック" w:hAnsi="ＭＳ ゴシック"/>
        <w:sz w:val="24"/>
      </w:rPr>
    </w:pPr>
    <w:r>
      <w:rPr>
        <w:rStyle w:val="a6"/>
        <w:rFonts w:ascii="ＭＳ ゴシック" w:hAnsi="ＭＳ ゴシック"/>
        <w:sz w:val="24"/>
      </w:rPr>
      <w:fldChar w:fldCharType="begin"/>
    </w:r>
    <w:r>
      <w:rPr>
        <w:rStyle w:val="a6"/>
        <w:rFonts w:ascii="ＭＳ ゴシック" w:hAnsi="ＭＳ ゴシック"/>
        <w:sz w:val="24"/>
      </w:rPr>
      <w:instrText xml:space="preserve"> PAGE </w:instrText>
    </w:r>
    <w:r>
      <w:rPr>
        <w:rStyle w:val="a6"/>
        <w:rFonts w:ascii="ＭＳ ゴシック" w:hAnsi="ＭＳ ゴシック"/>
        <w:sz w:val="24"/>
      </w:rPr>
      <w:fldChar w:fldCharType="separate"/>
    </w:r>
    <w:r>
      <w:rPr>
        <w:rStyle w:val="a6"/>
        <w:rFonts w:ascii="ＭＳ ゴシック" w:hAnsi="ＭＳ ゴシック"/>
        <w:noProof/>
        <w:sz w:val="24"/>
      </w:rPr>
      <w:t>1</w:t>
    </w:r>
    <w:r>
      <w:rPr>
        <w:rStyle w:val="a6"/>
        <w:rFonts w:ascii="ＭＳ ゴシック" w:hAnsi="ＭＳ ゴシック"/>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FC0A" w14:textId="77777777" w:rsidR="0097102B" w:rsidRDefault="0097102B">
      <w:r>
        <w:separator/>
      </w:r>
    </w:p>
  </w:footnote>
  <w:footnote w:type="continuationSeparator" w:id="0">
    <w:p w14:paraId="0708766D" w14:textId="77777777" w:rsidR="0097102B" w:rsidRDefault="0097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95B0" w14:textId="77777777" w:rsidR="001E2E7E" w:rsidRDefault="001E2E7E">
    <w:pPr>
      <w:pStyle w:val="a3"/>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78D0"/>
    <w:multiLevelType w:val="hybridMultilevel"/>
    <w:tmpl w:val="92AC68DC"/>
    <w:lvl w:ilvl="0" w:tplc="276CCC9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FD48FF"/>
    <w:multiLevelType w:val="hybridMultilevel"/>
    <w:tmpl w:val="2E4A2168"/>
    <w:lvl w:ilvl="0" w:tplc="FE581F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592BC6"/>
    <w:multiLevelType w:val="hybridMultilevel"/>
    <w:tmpl w:val="27067538"/>
    <w:lvl w:ilvl="0" w:tplc="E7869A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9B3FF2"/>
    <w:multiLevelType w:val="hybridMultilevel"/>
    <w:tmpl w:val="541E70B8"/>
    <w:lvl w:ilvl="0" w:tplc="6E9E0E0C">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7D7478"/>
    <w:multiLevelType w:val="hybridMultilevel"/>
    <w:tmpl w:val="ACA018D2"/>
    <w:lvl w:ilvl="0" w:tplc="F5F0C02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B366FB"/>
    <w:multiLevelType w:val="hybridMultilevel"/>
    <w:tmpl w:val="DCE4A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9A3E56"/>
    <w:multiLevelType w:val="hybridMultilevel"/>
    <w:tmpl w:val="19565F24"/>
    <w:lvl w:ilvl="0" w:tplc="38E4DDA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8D098C"/>
    <w:multiLevelType w:val="hybridMultilevel"/>
    <w:tmpl w:val="F1ACEC72"/>
    <w:lvl w:ilvl="0" w:tplc="C9CE5E44">
      <w:start w:val="1"/>
      <w:numFmt w:val="decimalFullWidth"/>
      <w:lvlText w:val="（%1）"/>
      <w:lvlJc w:val="left"/>
      <w:pPr>
        <w:tabs>
          <w:tab w:val="num" w:pos="524"/>
        </w:tabs>
        <w:ind w:left="524" w:hanging="360"/>
      </w:pPr>
      <w:rPr>
        <w:rFonts w:hint="eastAsia"/>
      </w:rPr>
    </w:lvl>
    <w:lvl w:ilvl="1" w:tplc="04090017" w:tentative="1">
      <w:start w:val="1"/>
      <w:numFmt w:val="aiueoFullWidth"/>
      <w:lvlText w:val="(%2)"/>
      <w:lvlJc w:val="left"/>
      <w:pPr>
        <w:tabs>
          <w:tab w:val="num" w:pos="1004"/>
        </w:tabs>
        <w:ind w:left="1004" w:hanging="420"/>
      </w:pPr>
    </w:lvl>
    <w:lvl w:ilvl="2" w:tplc="04090011" w:tentative="1">
      <w:start w:val="1"/>
      <w:numFmt w:val="decimalEnclosedCircle"/>
      <w:lvlText w:val="%3"/>
      <w:lvlJc w:val="left"/>
      <w:pPr>
        <w:tabs>
          <w:tab w:val="num" w:pos="1424"/>
        </w:tabs>
        <w:ind w:left="1424" w:hanging="420"/>
      </w:pPr>
    </w:lvl>
    <w:lvl w:ilvl="3" w:tplc="0409000F" w:tentative="1">
      <w:start w:val="1"/>
      <w:numFmt w:val="decimal"/>
      <w:lvlText w:val="%4."/>
      <w:lvlJc w:val="left"/>
      <w:pPr>
        <w:tabs>
          <w:tab w:val="num" w:pos="1844"/>
        </w:tabs>
        <w:ind w:left="1844" w:hanging="420"/>
      </w:pPr>
    </w:lvl>
    <w:lvl w:ilvl="4" w:tplc="04090017" w:tentative="1">
      <w:start w:val="1"/>
      <w:numFmt w:val="aiueoFullWidth"/>
      <w:lvlText w:val="(%5)"/>
      <w:lvlJc w:val="left"/>
      <w:pPr>
        <w:tabs>
          <w:tab w:val="num" w:pos="2264"/>
        </w:tabs>
        <w:ind w:left="2264" w:hanging="420"/>
      </w:pPr>
    </w:lvl>
    <w:lvl w:ilvl="5" w:tplc="04090011" w:tentative="1">
      <w:start w:val="1"/>
      <w:numFmt w:val="decimalEnclosedCircle"/>
      <w:lvlText w:val="%6"/>
      <w:lvlJc w:val="left"/>
      <w:pPr>
        <w:tabs>
          <w:tab w:val="num" w:pos="2684"/>
        </w:tabs>
        <w:ind w:left="2684" w:hanging="420"/>
      </w:pPr>
    </w:lvl>
    <w:lvl w:ilvl="6" w:tplc="0409000F" w:tentative="1">
      <w:start w:val="1"/>
      <w:numFmt w:val="decimal"/>
      <w:lvlText w:val="%7."/>
      <w:lvlJc w:val="left"/>
      <w:pPr>
        <w:tabs>
          <w:tab w:val="num" w:pos="3104"/>
        </w:tabs>
        <w:ind w:left="3104" w:hanging="420"/>
      </w:pPr>
    </w:lvl>
    <w:lvl w:ilvl="7" w:tplc="04090017" w:tentative="1">
      <w:start w:val="1"/>
      <w:numFmt w:val="aiueoFullWidth"/>
      <w:lvlText w:val="(%8)"/>
      <w:lvlJc w:val="left"/>
      <w:pPr>
        <w:tabs>
          <w:tab w:val="num" w:pos="3524"/>
        </w:tabs>
        <w:ind w:left="3524" w:hanging="420"/>
      </w:pPr>
    </w:lvl>
    <w:lvl w:ilvl="8" w:tplc="04090011" w:tentative="1">
      <w:start w:val="1"/>
      <w:numFmt w:val="decimalEnclosedCircle"/>
      <w:lvlText w:val="%9"/>
      <w:lvlJc w:val="left"/>
      <w:pPr>
        <w:tabs>
          <w:tab w:val="num" w:pos="3944"/>
        </w:tabs>
        <w:ind w:left="3944" w:hanging="420"/>
      </w:pPr>
    </w:lvl>
  </w:abstractNum>
  <w:abstractNum w:abstractNumId="8" w15:restartNumberingAfterBreak="0">
    <w:nsid w:val="728F1D3C"/>
    <w:multiLevelType w:val="hybridMultilevel"/>
    <w:tmpl w:val="D3029B12"/>
    <w:lvl w:ilvl="0" w:tplc="8DA226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4957648">
    <w:abstractNumId w:val="4"/>
  </w:num>
  <w:num w:numId="2" w16cid:durableId="957838736">
    <w:abstractNumId w:val="1"/>
  </w:num>
  <w:num w:numId="3" w16cid:durableId="1911034157">
    <w:abstractNumId w:val="8"/>
  </w:num>
  <w:num w:numId="4" w16cid:durableId="416291159">
    <w:abstractNumId w:val="2"/>
  </w:num>
  <w:num w:numId="5" w16cid:durableId="1654869444">
    <w:abstractNumId w:val="0"/>
  </w:num>
  <w:num w:numId="6" w16cid:durableId="422531595">
    <w:abstractNumId w:val="5"/>
  </w:num>
  <w:num w:numId="7" w16cid:durableId="614680888">
    <w:abstractNumId w:val="6"/>
  </w:num>
  <w:num w:numId="8" w16cid:durableId="617496272">
    <w:abstractNumId w:val="3"/>
  </w:num>
  <w:num w:numId="9" w16cid:durableId="1818455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proofState w:spelling="clean" w:grammar="dirty"/>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5964"/>
    <w:rsid w:val="001953C6"/>
    <w:rsid w:val="001E2E7E"/>
    <w:rsid w:val="00544A7D"/>
    <w:rsid w:val="00735964"/>
    <w:rsid w:val="00853B50"/>
    <w:rsid w:val="0097102B"/>
    <w:rsid w:val="00A80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328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semiHidden/>
    <w:rPr>
      <w:rFonts w:ascii="ＭＳ 明朝" w:hAnsi="ＭＳ 明朝"/>
      <w:sz w:val="22"/>
    </w:rPr>
  </w:style>
  <w:style w:type="character" w:styleId="a6">
    <w:name w:val="page number"/>
    <w:basedOn w:val="a0"/>
    <w:semiHidden/>
  </w:style>
  <w:style w:type="paragraph" w:styleId="a7">
    <w:name w:val="Body Text Indent"/>
    <w:basedOn w:val="a"/>
    <w:semiHidden/>
    <w:pPr>
      <w:ind w:left="210" w:hangingChars="100" w:hanging="210"/>
    </w:pPr>
  </w:style>
  <w:style w:type="paragraph" w:styleId="2">
    <w:name w:val="Body Text Indent 2"/>
    <w:basedOn w:val="a"/>
    <w:semiHidden/>
    <w:pPr>
      <w:ind w:left="312" w:hangingChars="130" w:hanging="312"/>
    </w:pPr>
    <w:rPr>
      <w:rFonts w:ascii="ＭＳ 明朝" w:hAnsi="ＭＳ 明朝"/>
      <w:sz w:val="24"/>
      <w:szCs w:val="20"/>
    </w:rPr>
  </w:style>
  <w:style w:type="paragraph" w:styleId="20">
    <w:name w:val="Body Text 2"/>
    <w:basedOn w:val="a"/>
    <w:semiHidden/>
    <w:rPr>
      <w:rFonts w:ascii="ＭＳ Ｐゴシック" w:eastAsia="ＭＳ Ｐゴシック" w:hAnsi="ＭＳ Ｐゴシック"/>
      <w:sz w:val="24"/>
    </w:rPr>
  </w:style>
  <w:style w:type="paragraph" w:styleId="3">
    <w:name w:val="Body Text Indent 3"/>
    <w:basedOn w:val="a"/>
    <w:semiHidden/>
    <w:pPr>
      <w:ind w:right="220" w:firstLineChars="2600" w:firstLine="6240"/>
      <w:jc w:val="left"/>
    </w:pPr>
    <w:rPr>
      <w:rFonts w:ascii="ＭＳ Ｐゴシック" w:eastAsia="ＭＳ Ｐゴシック" w:hAnsi="ＭＳ Ｐゴシック"/>
      <w:sz w:val="24"/>
    </w:rPr>
  </w:style>
  <w:style w:type="paragraph" w:styleId="30">
    <w:name w:val="Body Text 3"/>
    <w:basedOn w:val="a"/>
    <w:semiHidden/>
    <w:pPr>
      <w:jc w:val="left"/>
    </w:pPr>
    <w:rPr>
      <w:rFonts w:ascii="ＭＳ Ｐゴシック" w:eastAsia="ＭＳ Ｐゴシック" w:hAnsi="ＭＳ Ｐゴシック"/>
      <w:sz w:val="24"/>
    </w:rPr>
  </w:style>
  <w:style w:type="paragraph" w:styleId="a8">
    <w:name w:val="Date"/>
    <w:basedOn w:val="a"/>
    <w:next w:val="a"/>
    <w:semiHidden/>
    <w:rPr>
      <w:rFonts w:ascii="ＭＳ 明朝" w:hAnsi="ＭＳ 明朝"/>
      <w:sz w:val="24"/>
    </w:rPr>
  </w:style>
  <w:style w:type="paragraph" w:styleId="a9">
    <w:name w:val="Block Text"/>
    <w:basedOn w:val="a"/>
    <w:semiHidden/>
    <w:pPr>
      <w:snapToGrid w:val="0"/>
      <w:spacing w:after="50" w:line="400" w:lineRule="exact"/>
      <w:ind w:left="240" w:rightChars="50" w:right="105" w:hangingChars="100" w:hanging="240"/>
    </w:pPr>
    <w:rPr>
      <w:rFonts w:ascii="ＭＳ 明朝"/>
      <w:sz w:val="24"/>
    </w:rPr>
  </w:style>
  <w:style w:type="character" w:styleId="aa">
    <w:name w:val="Hyperlink"/>
    <w:semiHidden/>
    <w:rPr>
      <w:color w:val="0000FF"/>
      <w:u w:val="single"/>
    </w:rPr>
  </w:style>
  <w:style w:type="paragraph" w:styleId="ab">
    <w:name w:val="Balloon Text"/>
    <w:basedOn w:val="a"/>
    <w:semiHidden/>
    <w:rPr>
      <w:rFonts w:ascii="Arial" w:eastAsia="ＭＳ ゴシック" w:hAnsi="Arial"/>
      <w:sz w:val="18"/>
      <w:szCs w:val="18"/>
    </w:rPr>
  </w:style>
  <w:style w:type="paragraph" w:styleId="ac">
    <w:name w:val="Revision"/>
    <w:hidden/>
    <w:uiPriority w:val="99"/>
    <w:semiHidden/>
    <w:rsid w:val="007359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blic@wan.jsda.o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Links>
    <vt:vector size="6" baseType="variant">
      <vt:variant>
        <vt:i4>3473425</vt:i4>
      </vt:variant>
      <vt:variant>
        <vt:i4>0</vt:i4>
      </vt:variant>
      <vt:variant>
        <vt:i4>0</vt:i4>
      </vt:variant>
      <vt:variant>
        <vt:i4>5</vt:i4>
      </vt:variant>
      <vt:variant>
        <vt:lpwstr>mailto:public@wan.jsda.or.jp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2023-12-26T02:12:00Z</dcterms:created>
  <dcterms:modified xsi:type="dcterms:W3CDTF">2023-12-26T02:12:00Z</dcterms:modified>
</cp:coreProperties>
</file>