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EC94" w14:textId="77777777" w:rsidR="009333D9" w:rsidRPr="00265D29" w:rsidRDefault="009333D9" w:rsidP="009333D9">
      <w:pPr>
        <w:rPr>
          <w:rFonts w:ascii="Times New Roman" w:eastAsia="ＭＳ ゴシック" w:hAnsi="Times New Roman"/>
          <w:sz w:val="22"/>
        </w:rPr>
      </w:pPr>
      <w:r w:rsidRPr="00265D29">
        <w:rPr>
          <w:rFonts w:ascii="Times New Roman" w:eastAsia="ＭＳ ゴシック" w:hAnsi="Times New Roman"/>
          <w:sz w:val="22"/>
        </w:rPr>
        <w:t xml:space="preserve">(Sample </w:t>
      </w:r>
      <w:r>
        <w:rPr>
          <w:rFonts w:ascii="Times New Roman" w:eastAsia="ＭＳ ゴシック" w:hAnsi="Times New Roman" w:hint="eastAsia"/>
          <w:sz w:val="22"/>
        </w:rPr>
        <w:t>wording</w:t>
      </w:r>
      <w:r w:rsidRPr="00265D29">
        <w:rPr>
          <w:rFonts w:ascii="Times New Roman" w:eastAsia="ＭＳ ゴシック" w:hAnsi="Times New Roman"/>
          <w:sz w:val="22"/>
        </w:rPr>
        <w:t xml:space="preserve"> to be described in </w:t>
      </w:r>
      <w:r>
        <w:rPr>
          <w:rFonts w:ascii="Times New Roman" w:eastAsia="ＭＳ ゴシック" w:hAnsi="Times New Roman" w:hint="eastAsia"/>
          <w:sz w:val="22"/>
        </w:rPr>
        <w:t>confirmations or similar trade notifications</w:t>
      </w:r>
      <w:r w:rsidRPr="00265D29">
        <w:rPr>
          <w:rFonts w:ascii="Times New Roman" w:eastAsia="ＭＳ ゴシック" w:hAnsi="Times New Roman"/>
          <w:sz w:val="22"/>
        </w:rPr>
        <w:t xml:space="preserve">, etc. </w:t>
      </w:r>
      <w:r>
        <w:rPr>
          <w:rFonts w:ascii="Times New Roman" w:eastAsia="ＭＳ ゴシック" w:hAnsi="Times New Roman" w:hint="eastAsia"/>
          <w:sz w:val="22"/>
        </w:rPr>
        <w:t>when</w:t>
      </w:r>
      <w:r w:rsidRPr="00265D29">
        <w:rPr>
          <w:rFonts w:ascii="Times New Roman" w:eastAsia="ＭＳ ゴシック" w:hAnsi="Times New Roman"/>
          <w:sz w:val="22"/>
        </w:rPr>
        <w:t xml:space="preserve"> introduc</w:t>
      </w:r>
      <w:r>
        <w:rPr>
          <w:rFonts w:ascii="Times New Roman" w:eastAsia="ＭＳ ゴシック" w:hAnsi="Times New Roman" w:hint="eastAsia"/>
          <w:sz w:val="22"/>
        </w:rPr>
        <w:t>ing</w:t>
      </w:r>
      <w:r w:rsidRPr="00265D29">
        <w:rPr>
          <w:rFonts w:ascii="Times New Roman" w:eastAsia="ＭＳ ゴシック" w:hAnsi="Times New Roman"/>
          <w:sz w:val="22"/>
        </w:rPr>
        <w:t xml:space="preserve"> Fails Charges)</w:t>
      </w:r>
    </w:p>
    <w:p w14:paraId="0311D238" w14:textId="77777777" w:rsidR="009333D9" w:rsidRPr="004C15D2" w:rsidRDefault="009333D9" w:rsidP="009333D9">
      <w:pPr>
        <w:rPr>
          <w:rFonts w:ascii="Times New Roman" w:eastAsia="ＭＳ ゴシック" w:hAnsi="Times New Roman"/>
          <w:sz w:val="22"/>
        </w:rPr>
      </w:pPr>
    </w:p>
    <w:p w14:paraId="5DBA69C3" w14:textId="77777777" w:rsidR="009333D9" w:rsidRPr="00265D29" w:rsidRDefault="009333D9" w:rsidP="009333D9">
      <w:pPr>
        <w:rPr>
          <w:rFonts w:ascii="Times New Roman" w:eastAsia="ＭＳ ゴシック" w:hAnsi="Times New Roman"/>
          <w:sz w:val="22"/>
        </w:rPr>
      </w:pPr>
      <w:r w:rsidRPr="00265D29">
        <w:rPr>
          <w:rFonts w:ascii="Times New Roman" w:eastAsia="ＭＳ ゴシック" w:hAnsi="Times New Roman"/>
          <w:sz w:val="22"/>
        </w:rPr>
        <w:t>When a market participant decides to introduce the Fails Charge Trading Practice</w:t>
      </w:r>
      <w:r>
        <w:rPr>
          <w:rFonts w:ascii="Times New Roman" w:eastAsia="ＭＳ ゴシック" w:hAnsi="Times New Roman" w:hint="eastAsia"/>
          <w:sz w:val="22"/>
        </w:rPr>
        <w:t>,</w:t>
      </w:r>
      <w:r w:rsidRPr="00265D29">
        <w:rPr>
          <w:rFonts w:ascii="Times New Roman" w:eastAsia="ＭＳ ゴシック" w:hAnsi="Times New Roman"/>
          <w:sz w:val="22"/>
        </w:rPr>
        <w:t xml:space="preserve"> it is recommended, in</w:t>
      </w:r>
      <w:r>
        <w:rPr>
          <w:rFonts w:ascii="Times New Roman" w:eastAsia="ＭＳ ゴシック" w:hAnsi="Times New Roman" w:hint="eastAsia"/>
          <w:sz w:val="22"/>
        </w:rPr>
        <w:t xml:space="preserve"> </w:t>
      </w:r>
      <w:r>
        <w:rPr>
          <w:rFonts w:ascii="Times New Roman" w:eastAsia="ＭＳ ゴシック" w:hAnsi="Times New Roman"/>
          <w:sz w:val="22"/>
        </w:rPr>
        <w:t>their</w:t>
      </w:r>
      <w:r>
        <w:rPr>
          <w:rFonts w:ascii="Times New Roman" w:eastAsia="ＭＳ ゴシック" w:hAnsi="Times New Roman" w:hint="eastAsia"/>
          <w:sz w:val="22"/>
        </w:rPr>
        <w:t xml:space="preserve"> confirmations or similar trade notifications</w:t>
      </w:r>
      <w:r w:rsidRPr="00265D29">
        <w:rPr>
          <w:rFonts w:ascii="Times New Roman" w:eastAsia="ＭＳ ゴシック" w:hAnsi="Times New Roman"/>
          <w:sz w:val="22"/>
        </w:rPr>
        <w:t xml:space="preserve"> to add </w:t>
      </w:r>
      <w:r>
        <w:rPr>
          <w:rFonts w:ascii="Times New Roman" w:eastAsia="ＭＳ ゴシック" w:hAnsi="Times New Roman" w:hint="eastAsia"/>
          <w:sz w:val="22"/>
        </w:rPr>
        <w:t>wording</w:t>
      </w:r>
      <w:r w:rsidRPr="00265D29">
        <w:rPr>
          <w:rFonts w:ascii="Times New Roman" w:eastAsia="ＭＳ ゴシック" w:hAnsi="Times New Roman"/>
          <w:sz w:val="22"/>
        </w:rPr>
        <w:t xml:space="preserve"> </w:t>
      </w:r>
      <w:r>
        <w:rPr>
          <w:rFonts w:ascii="Times New Roman" w:eastAsia="ＭＳ ゴシック" w:hAnsi="Times New Roman" w:hint="eastAsia"/>
          <w:sz w:val="22"/>
        </w:rPr>
        <w:t xml:space="preserve">to indicate </w:t>
      </w:r>
      <w:r w:rsidRPr="00265D29">
        <w:rPr>
          <w:rFonts w:ascii="Times New Roman" w:eastAsia="ＭＳ ゴシック" w:hAnsi="Times New Roman"/>
          <w:sz w:val="22"/>
        </w:rPr>
        <w:t xml:space="preserve">that the market participant will comply with the Fails Charge Trading Practice. The following sentence is a sample statement for declaring such compliance. Each market participant </w:t>
      </w:r>
      <w:r>
        <w:rPr>
          <w:rFonts w:ascii="Times New Roman" w:eastAsia="ＭＳ ゴシック" w:hAnsi="Times New Roman" w:hint="eastAsia"/>
          <w:sz w:val="22"/>
        </w:rPr>
        <w:t>is requested</w:t>
      </w:r>
      <w:r w:rsidRPr="00265D29">
        <w:rPr>
          <w:rFonts w:ascii="Times New Roman" w:eastAsia="ＭＳ ゴシック" w:hAnsi="Times New Roman"/>
          <w:sz w:val="22"/>
        </w:rPr>
        <w:t xml:space="preserve"> to examine this sample statement and </w:t>
      </w:r>
      <w:r>
        <w:rPr>
          <w:rFonts w:ascii="Times New Roman" w:eastAsia="ＭＳ ゴシック" w:hAnsi="Times New Roman" w:hint="eastAsia"/>
          <w:sz w:val="22"/>
        </w:rPr>
        <w:t>consider whe</w:t>
      </w:r>
      <w:r w:rsidRPr="00265D29">
        <w:rPr>
          <w:rFonts w:ascii="Times New Roman" w:eastAsia="ＭＳ ゴシック" w:hAnsi="Times New Roman"/>
          <w:sz w:val="22"/>
        </w:rPr>
        <w:t>the</w:t>
      </w:r>
      <w:r>
        <w:rPr>
          <w:rFonts w:ascii="Times New Roman" w:eastAsia="ＭＳ ゴシック" w:hAnsi="Times New Roman" w:hint="eastAsia"/>
          <w:sz w:val="22"/>
        </w:rPr>
        <w:t>r to rewrite</w:t>
      </w:r>
      <w:r>
        <w:rPr>
          <w:rFonts w:ascii="Times New Roman" w:eastAsia="ＭＳ ゴシック" w:hAnsi="Times New Roman"/>
          <w:sz w:val="22"/>
        </w:rPr>
        <w:t xml:space="preserve"> it </w:t>
      </w:r>
      <w:r w:rsidRPr="00265D29">
        <w:rPr>
          <w:rFonts w:ascii="Times New Roman" w:eastAsia="ＭＳ ゴシック" w:hAnsi="Times New Roman"/>
          <w:sz w:val="22"/>
        </w:rPr>
        <w:t>to fit in with their own circumstances.</w:t>
      </w:r>
    </w:p>
    <w:p w14:paraId="53783941" w14:textId="77777777" w:rsidR="009333D9" w:rsidRPr="00D419F8" w:rsidRDefault="009333D9" w:rsidP="009333D9">
      <w:pPr>
        <w:jc w:val="center"/>
        <w:rPr>
          <w:rFonts w:ascii="Times New Roman" w:eastAsia="ＭＳ ゴシック" w:hAnsi="Times New Roman"/>
          <w:sz w:val="22"/>
        </w:rPr>
      </w:pPr>
    </w:p>
    <w:p w14:paraId="4639542B" w14:textId="39B89141" w:rsidR="009333D9" w:rsidRPr="00265D29" w:rsidRDefault="003B3FC6" w:rsidP="009333D9">
      <w:pPr>
        <w:jc w:val="center"/>
        <w:rPr>
          <w:rFonts w:ascii="Times New Roman" w:eastAsia="ＭＳ ゴシック" w:hAnsi="Times New Roman"/>
          <w:sz w:val="22"/>
        </w:rPr>
      </w:pPr>
      <w:r w:rsidRPr="00265D29">
        <w:rPr>
          <w:rFonts w:ascii="Times New Roman" w:eastAsia="ＭＳ ゴシック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150C7B" wp14:editId="60CD295C">
                <wp:simplePos x="0" y="0"/>
                <wp:positionH relativeFrom="column">
                  <wp:posOffset>-99060</wp:posOffset>
                </wp:positionH>
                <wp:positionV relativeFrom="paragraph">
                  <wp:posOffset>158115</wp:posOffset>
                </wp:positionV>
                <wp:extent cx="5591175" cy="0"/>
                <wp:effectExtent l="9525" t="9525" r="9525" b="9525"/>
                <wp:wrapNone/>
                <wp:docPr id="8038777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3F0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8pt;margin-top:12.45pt;width:44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"/>
            </w:pict>
          </mc:Fallback>
        </mc:AlternateContent>
      </w:r>
    </w:p>
    <w:p w14:paraId="205EE27F" w14:textId="77777777" w:rsidR="009333D9" w:rsidRPr="00265D29" w:rsidRDefault="009333D9" w:rsidP="009333D9">
      <w:pPr>
        <w:jc w:val="center"/>
        <w:rPr>
          <w:rFonts w:ascii="Times New Roman" w:eastAsia="ＭＳ ゴシック" w:hAnsi="Times New Roman"/>
          <w:sz w:val="22"/>
        </w:rPr>
      </w:pPr>
    </w:p>
    <w:p w14:paraId="7323D2B0" w14:textId="77777777" w:rsidR="009333D9" w:rsidRPr="00265D29" w:rsidRDefault="009333D9" w:rsidP="009333D9">
      <w:pPr>
        <w:jc w:val="left"/>
        <w:rPr>
          <w:rFonts w:ascii="Times New Roman" w:eastAsia="ＭＳ ゴシック" w:hAnsi="Times New Roman"/>
          <w:sz w:val="22"/>
        </w:rPr>
      </w:pPr>
      <w:r w:rsidRPr="00265D29">
        <w:rPr>
          <w:rFonts w:ascii="Times New Roman" w:eastAsia="ＭＳ ゴシック" w:hAnsi="Times New Roman"/>
          <w:sz w:val="22"/>
        </w:rPr>
        <w:t xml:space="preserve">This transaction is subject to </w:t>
      </w:r>
      <w:r>
        <w:rPr>
          <w:rFonts w:ascii="Times New Roman" w:eastAsia="ＭＳ ゴシック" w:hAnsi="Times New Roman" w:hint="eastAsia"/>
          <w:sz w:val="22"/>
        </w:rPr>
        <w:t xml:space="preserve">a </w:t>
      </w:r>
      <w:r w:rsidRPr="00265D29">
        <w:rPr>
          <w:rFonts w:ascii="Times New Roman" w:eastAsia="ＭＳ ゴシック" w:hAnsi="Times New Roman"/>
          <w:sz w:val="22"/>
        </w:rPr>
        <w:t xml:space="preserve">Fails Charge to be </w:t>
      </w:r>
      <w:r>
        <w:rPr>
          <w:rFonts w:ascii="Times New Roman" w:eastAsia="ＭＳ ゴシック" w:hAnsi="Times New Roman" w:hint="eastAsia"/>
          <w:sz w:val="22"/>
        </w:rPr>
        <w:t>imposed</w:t>
      </w:r>
      <w:r>
        <w:rPr>
          <w:rFonts w:ascii="Times New Roman" w:eastAsia="ＭＳ ゴシック" w:hAnsi="Times New Roman"/>
          <w:sz w:val="22"/>
        </w:rPr>
        <w:t xml:space="preserve"> pursuant to “</w:t>
      </w:r>
      <w:r>
        <w:rPr>
          <w:rFonts w:ascii="Times New Roman" w:eastAsia="ＭＳ ゴシック" w:hAnsi="Times New Roman" w:hint="eastAsia"/>
          <w:sz w:val="22"/>
        </w:rPr>
        <w:t>T</w:t>
      </w:r>
      <w:r w:rsidRPr="00265D29">
        <w:rPr>
          <w:rFonts w:ascii="Times New Roman" w:eastAsia="ＭＳ ゴシック" w:hAnsi="Times New Roman"/>
          <w:sz w:val="22"/>
        </w:rPr>
        <w:t>he Japanese Government Securities Guidelines for Real Time Gross Settlement</w:t>
      </w:r>
      <w:r>
        <w:rPr>
          <w:rFonts w:ascii="Times New Roman" w:eastAsia="ＭＳ ゴシック" w:hAnsi="Times New Roman"/>
          <w:sz w:val="22"/>
        </w:rPr>
        <w:t>”</w:t>
      </w:r>
      <w:r w:rsidRPr="00265D29">
        <w:rPr>
          <w:rFonts w:ascii="Times New Roman" w:eastAsia="ＭＳ ゴシック" w:hAnsi="Times New Roman"/>
          <w:sz w:val="22"/>
        </w:rPr>
        <w:t xml:space="preserve"> issued by Japan Securities Dealers Association.</w:t>
      </w:r>
    </w:p>
    <w:p w14:paraId="40569EC0" w14:textId="77777777" w:rsidR="00E43C17" w:rsidRPr="009333D9" w:rsidRDefault="00E43C17">
      <w:pPr>
        <w:rPr>
          <w:rFonts w:hint="eastAsia"/>
        </w:rPr>
      </w:pPr>
    </w:p>
    <w:sectPr w:rsidR="00E43C17" w:rsidRPr="009333D9" w:rsidSect="009333D9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D405B" w14:textId="77777777" w:rsidR="003B3FC6" w:rsidRDefault="003B3FC6">
      <w:pPr>
        <w:spacing w:line="240" w:lineRule="auto"/>
      </w:pPr>
      <w:r>
        <w:separator/>
      </w:r>
    </w:p>
  </w:endnote>
  <w:endnote w:type="continuationSeparator" w:id="0">
    <w:p w14:paraId="04F39109" w14:textId="77777777" w:rsidR="003B3FC6" w:rsidRDefault="003B3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7960" w14:textId="77777777" w:rsidR="003B3FC6" w:rsidRDefault="003B3FC6">
      <w:pPr>
        <w:spacing w:line="240" w:lineRule="auto"/>
      </w:pPr>
      <w:r>
        <w:separator/>
      </w:r>
    </w:p>
  </w:footnote>
  <w:footnote w:type="continuationSeparator" w:id="0">
    <w:p w14:paraId="64EB116C" w14:textId="77777777" w:rsidR="003B3FC6" w:rsidRDefault="003B3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407F" w14:textId="77777777" w:rsidR="009333D9" w:rsidRPr="00E87AEC" w:rsidRDefault="009333D9" w:rsidP="009333D9">
    <w:pPr>
      <w:pStyle w:val="a3"/>
      <w:jc w:val="right"/>
      <w:rPr>
        <w:b/>
      </w:rPr>
    </w:pPr>
    <w:r w:rsidRPr="00E87AEC">
      <w:rPr>
        <w:rFonts w:ascii="Times New Roman" w:hAnsi="Times New Roman" w:hint="eastAsia"/>
        <w:b/>
        <w:sz w:val="24"/>
        <w:szCs w:val="24"/>
      </w:rPr>
      <w:t>Annex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D9"/>
    <w:rsid w:val="00026353"/>
    <w:rsid w:val="0021089A"/>
    <w:rsid w:val="00224AAA"/>
    <w:rsid w:val="0027778F"/>
    <w:rsid w:val="002A3E0A"/>
    <w:rsid w:val="002C1366"/>
    <w:rsid w:val="002F786D"/>
    <w:rsid w:val="00301C3E"/>
    <w:rsid w:val="00353983"/>
    <w:rsid w:val="003B3FC6"/>
    <w:rsid w:val="004519ED"/>
    <w:rsid w:val="004E52E1"/>
    <w:rsid w:val="00510ACB"/>
    <w:rsid w:val="005F473E"/>
    <w:rsid w:val="006C4D1F"/>
    <w:rsid w:val="00736D33"/>
    <w:rsid w:val="0076726A"/>
    <w:rsid w:val="007A4487"/>
    <w:rsid w:val="008B17FC"/>
    <w:rsid w:val="009174EB"/>
    <w:rsid w:val="009333D9"/>
    <w:rsid w:val="00965ECE"/>
    <w:rsid w:val="009B47AE"/>
    <w:rsid w:val="009C0133"/>
    <w:rsid w:val="009C23DC"/>
    <w:rsid w:val="009F06F5"/>
    <w:rsid w:val="00A2505A"/>
    <w:rsid w:val="00AA38B4"/>
    <w:rsid w:val="00B04DC7"/>
    <w:rsid w:val="00B8388C"/>
    <w:rsid w:val="00BB7588"/>
    <w:rsid w:val="00C37AA1"/>
    <w:rsid w:val="00C506B0"/>
    <w:rsid w:val="00D26226"/>
    <w:rsid w:val="00D35BD4"/>
    <w:rsid w:val="00E43C17"/>
    <w:rsid w:val="00EE6CBD"/>
    <w:rsid w:val="00F13544"/>
    <w:rsid w:val="00F3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3526BCE"/>
  <w15:chartTrackingRefBased/>
  <w15:docId w15:val="{09731AE4-118F-4C48-81A7-CA544C44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33D9"/>
    <w:pPr>
      <w:widowControl w:val="0"/>
      <w:spacing w:line="30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unhideWhenUsed/>
    <w:rsid w:val="00933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333D9"/>
    <w:rPr>
      <w:rFonts w:ascii="Century" w:eastAsia="ＭＳ 明朝" w:hAnsi="Century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日本証券業協会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日本証券業協会</dc:creator>
  <cp:keywords/>
  <cp:lastModifiedBy>福原　英里子 (公社債・金融商品部)</cp:lastModifiedBy>
  <cp:revision>2</cp:revision>
  <dcterms:created xsi:type="dcterms:W3CDTF">2025-08-22T05:49:00Z</dcterms:created>
  <dcterms:modified xsi:type="dcterms:W3CDTF">2025-08-22T05:49:00Z</dcterms:modified>
</cp:coreProperties>
</file>