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3D" w:rsidRDefault="0072233D">
      <w:pPr>
        <w:pStyle w:val="a5"/>
        <w:rPr>
          <w:rFonts w:cs="Times New Roman"/>
        </w:rPr>
      </w:pPr>
    </w:p>
    <w:p w:rsidR="0072233D" w:rsidRDefault="0072233D">
      <w:pPr>
        <w:pStyle w:val="a5"/>
        <w:ind w:left="2310" w:right="2205"/>
        <w:jc w:val="distribute"/>
        <w:rPr>
          <w:rFonts w:cs="Times New Roman"/>
          <w:sz w:val="28"/>
          <w:szCs w:val="28"/>
        </w:rPr>
      </w:pPr>
      <w:r>
        <w:rPr>
          <w:rFonts w:hint="eastAsia"/>
          <w:sz w:val="28"/>
          <w:szCs w:val="28"/>
        </w:rPr>
        <w:t>債券等の条件付売買取扱規程</w:t>
      </w:r>
    </w:p>
    <w:p w:rsidR="0072233D" w:rsidRDefault="0072233D">
      <w:pPr>
        <w:pStyle w:val="a5"/>
        <w:rPr>
          <w:rFonts w:cs="Times New Roman"/>
        </w:rPr>
      </w:pPr>
    </w:p>
    <w:p w:rsidR="0072233D" w:rsidRDefault="0072233D">
      <w:pPr>
        <w:pStyle w:val="a5"/>
        <w:rPr>
          <w:rFonts w:cs="Times New Roman"/>
          <w:sz w:val="22"/>
          <w:szCs w:val="22"/>
        </w:rPr>
      </w:pPr>
      <w:r>
        <w:rPr>
          <w:rFonts w:hint="eastAsia"/>
          <w:sz w:val="22"/>
          <w:szCs w:val="22"/>
        </w:rPr>
        <w:t>（目　　的）</w:t>
      </w:r>
    </w:p>
    <w:p w:rsidR="0072233D" w:rsidRDefault="0072233D">
      <w:pPr>
        <w:ind w:left="220" w:hangingChars="100" w:hanging="220"/>
        <w:rPr>
          <w:rFonts w:cs="Times New Roman"/>
        </w:rPr>
      </w:pPr>
      <w:r>
        <w:rPr>
          <w:rFonts w:cs="ＭＳ 明朝" w:hint="eastAsia"/>
          <w:sz w:val="22"/>
          <w:szCs w:val="22"/>
        </w:rPr>
        <w:t>第</w:t>
      </w:r>
      <w:r>
        <w:rPr>
          <w:sz w:val="22"/>
          <w:szCs w:val="22"/>
        </w:rPr>
        <w:t xml:space="preserve"> </w:t>
      </w:r>
      <w:r>
        <w:rPr>
          <w:rFonts w:cs="ＭＳ 明朝" w:hint="eastAsia"/>
          <w:sz w:val="22"/>
          <w:szCs w:val="22"/>
        </w:rPr>
        <w:t>１</w:t>
      </w:r>
      <w:r>
        <w:rPr>
          <w:sz w:val="22"/>
          <w:szCs w:val="22"/>
        </w:rPr>
        <w:t xml:space="preserve"> </w:t>
      </w:r>
      <w:r>
        <w:rPr>
          <w:rFonts w:cs="ＭＳ 明朝" w:hint="eastAsia"/>
          <w:sz w:val="22"/>
          <w:szCs w:val="22"/>
        </w:rPr>
        <w:t xml:space="preserve">条　</w:t>
      </w:r>
      <w:r>
        <w:rPr>
          <w:rFonts w:cs="ＭＳ 明朝" w:hint="eastAsia"/>
        </w:rPr>
        <w:t>この規程は、債券、国内ＣＰ、海外ＣＤ、海外ＣＰ及び外国貸付債権信託受益証券（以下「債券等」という。）の条件付売買（売買の目的たる債券等と同種、同量の債券等を将来の所定期日（所定の方法により決定される期日を含む。）に所定の価額（所定の計算方法により算出される価額を含む。）で買い戻すこと又は売り戻すことを内容とする特約付の債券等の売買をいう。以下「現先取引」という。）の取扱いに関し、必要な事項を定めることを目的とする。</w:t>
      </w:r>
    </w:p>
    <w:p w:rsidR="0072233D" w:rsidRDefault="0072233D">
      <w:pPr>
        <w:pStyle w:val="a5"/>
        <w:rPr>
          <w:rFonts w:cs="Times New Roman"/>
          <w:sz w:val="22"/>
          <w:szCs w:val="22"/>
        </w:rPr>
      </w:pPr>
    </w:p>
    <w:p w:rsidR="0072233D" w:rsidRDefault="0072233D">
      <w:pPr>
        <w:pStyle w:val="a5"/>
        <w:rPr>
          <w:rFonts w:cs="Times New Roman"/>
          <w:sz w:val="22"/>
          <w:szCs w:val="22"/>
        </w:rPr>
      </w:pPr>
      <w:r>
        <w:rPr>
          <w:rFonts w:hint="eastAsia"/>
          <w:sz w:val="22"/>
          <w:szCs w:val="22"/>
        </w:rPr>
        <w:t>（法令、規則等の遵守）</w:t>
      </w:r>
    </w:p>
    <w:p w:rsidR="0072233D" w:rsidRDefault="0072233D">
      <w:pPr>
        <w:pStyle w:val="a5"/>
        <w:ind w:left="210" w:hanging="210"/>
        <w:rPr>
          <w:rFonts w:cs="Times New Roman"/>
          <w:sz w:val="22"/>
          <w:szCs w:val="22"/>
        </w:rPr>
      </w:pPr>
      <w:r>
        <w:rPr>
          <w:rFonts w:hint="eastAsia"/>
          <w:sz w:val="22"/>
          <w:szCs w:val="22"/>
        </w:rPr>
        <w:t>第</w:t>
      </w:r>
      <w:r>
        <w:rPr>
          <w:sz w:val="22"/>
          <w:szCs w:val="22"/>
        </w:rPr>
        <w:t xml:space="preserve"> </w:t>
      </w:r>
      <w:r>
        <w:rPr>
          <w:rFonts w:hint="eastAsia"/>
          <w:sz w:val="22"/>
          <w:szCs w:val="22"/>
        </w:rPr>
        <w:t>２</w:t>
      </w:r>
      <w:r>
        <w:rPr>
          <w:sz w:val="22"/>
          <w:szCs w:val="22"/>
        </w:rPr>
        <w:t xml:space="preserve"> </w:t>
      </w:r>
      <w:r>
        <w:rPr>
          <w:rFonts w:hint="eastAsia"/>
          <w:sz w:val="22"/>
          <w:szCs w:val="22"/>
        </w:rPr>
        <w:t>条　債券等の現先取引の執行に当たっては、この規程によるほか、</w:t>
      </w:r>
      <w:r w:rsidR="001E5987" w:rsidRPr="007975F7">
        <w:rPr>
          <w:rFonts w:hint="eastAsia"/>
          <w:sz w:val="22"/>
          <w:szCs w:val="22"/>
        </w:rPr>
        <w:t>金融商品取引</w:t>
      </w:r>
      <w:r w:rsidRPr="007975F7">
        <w:rPr>
          <w:rFonts w:hint="eastAsia"/>
          <w:sz w:val="22"/>
          <w:szCs w:val="22"/>
        </w:rPr>
        <w:t>法</w:t>
      </w:r>
      <w:r w:rsidR="001E5987" w:rsidRPr="007975F7">
        <w:rPr>
          <w:rFonts w:hint="eastAsia"/>
          <w:sz w:val="22"/>
          <w:szCs w:val="22"/>
        </w:rPr>
        <w:t>（以下「金商法」という。）</w:t>
      </w:r>
      <w:r>
        <w:rPr>
          <w:rFonts w:hint="eastAsia"/>
          <w:sz w:val="22"/>
          <w:szCs w:val="22"/>
        </w:rPr>
        <w:t>その他の関係法令、証券業協会等の諸規則等を遵守してこれを行うものとする。</w:t>
      </w:r>
    </w:p>
    <w:p w:rsidR="007975F7" w:rsidRDefault="007975F7">
      <w:pPr>
        <w:pStyle w:val="a5"/>
        <w:rPr>
          <w:sz w:val="22"/>
          <w:szCs w:val="22"/>
        </w:rPr>
      </w:pPr>
    </w:p>
    <w:p w:rsidR="0072233D" w:rsidRDefault="0072233D">
      <w:pPr>
        <w:pStyle w:val="a5"/>
        <w:rPr>
          <w:rFonts w:cs="Times New Roman"/>
          <w:sz w:val="22"/>
          <w:szCs w:val="22"/>
        </w:rPr>
      </w:pPr>
      <w:r>
        <w:rPr>
          <w:rFonts w:hint="eastAsia"/>
          <w:sz w:val="22"/>
          <w:szCs w:val="22"/>
        </w:rPr>
        <w:t>（基本契約書等）</w:t>
      </w:r>
    </w:p>
    <w:p w:rsidR="0072233D" w:rsidRDefault="0072233D">
      <w:pPr>
        <w:pStyle w:val="a5"/>
        <w:ind w:left="210" w:hanging="210"/>
        <w:rPr>
          <w:rFonts w:cs="Times New Roman"/>
          <w:sz w:val="22"/>
          <w:szCs w:val="22"/>
        </w:rPr>
      </w:pPr>
      <w:r>
        <w:rPr>
          <w:rFonts w:hint="eastAsia"/>
          <w:sz w:val="22"/>
          <w:szCs w:val="22"/>
        </w:rPr>
        <w:t>第</w:t>
      </w:r>
      <w:r>
        <w:rPr>
          <w:sz w:val="22"/>
          <w:szCs w:val="22"/>
        </w:rPr>
        <w:t xml:space="preserve"> </w:t>
      </w:r>
      <w:r>
        <w:rPr>
          <w:rFonts w:hint="eastAsia"/>
          <w:sz w:val="22"/>
          <w:szCs w:val="22"/>
        </w:rPr>
        <w:t>３</w:t>
      </w:r>
      <w:r>
        <w:rPr>
          <w:sz w:val="22"/>
          <w:szCs w:val="22"/>
        </w:rPr>
        <w:t xml:space="preserve"> </w:t>
      </w:r>
      <w:r>
        <w:rPr>
          <w:rFonts w:hint="eastAsia"/>
          <w:sz w:val="22"/>
          <w:szCs w:val="22"/>
        </w:rPr>
        <w:t>条　当社は、債券等の現先取引を行う場合には、顧客との間において、別に定める基本契約書を取り交わし、これを整理</w:t>
      </w:r>
      <w:r w:rsidR="0085172B">
        <w:rPr>
          <w:rFonts w:hint="eastAsia"/>
          <w:sz w:val="22"/>
          <w:szCs w:val="22"/>
        </w:rPr>
        <w:t>及び</w:t>
      </w:r>
      <w:r>
        <w:rPr>
          <w:rFonts w:hint="eastAsia"/>
          <w:sz w:val="22"/>
          <w:szCs w:val="22"/>
        </w:rPr>
        <w:t>保管するものとする。</w:t>
      </w:r>
    </w:p>
    <w:p w:rsidR="0072233D" w:rsidRDefault="0072233D">
      <w:pPr>
        <w:ind w:left="220" w:hangingChars="100" w:hanging="220"/>
        <w:rPr>
          <w:rFonts w:cs="Times New Roman"/>
        </w:rPr>
      </w:pPr>
      <w:r>
        <w:rPr>
          <w:rFonts w:cs="ＭＳ 明朝" w:hint="eastAsia"/>
          <w:sz w:val="22"/>
          <w:szCs w:val="22"/>
        </w:rPr>
        <w:t xml:space="preserve">２　</w:t>
      </w:r>
      <w:r>
        <w:rPr>
          <w:rFonts w:cs="ＭＳ 明朝" w:hint="eastAsia"/>
        </w:rPr>
        <w:t>前項に規定する基本契約書に基づき、個別現先取引の約定が成立したとき（再評価取引又は取引対象債券等の差替えを行ったときを含む。）は、その都度、顧客に対して、個別取引明細書を交付するものとする。</w:t>
      </w:r>
    </w:p>
    <w:p w:rsidR="0072233D" w:rsidRDefault="0072233D">
      <w:pPr>
        <w:ind w:left="210" w:hangingChars="100" w:hanging="210"/>
        <w:rPr>
          <w:rFonts w:cs="Times New Roman"/>
          <w:sz w:val="22"/>
          <w:szCs w:val="22"/>
        </w:rPr>
      </w:pPr>
      <w:r>
        <w:rPr>
          <w:rFonts w:cs="ＭＳ 明朝" w:hint="eastAsia"/>
        </w:rPr>
        <w:t>３　前項にかかわらず、顧客</w:t>
      </w:r>
      <w:r w:rsidRPr="007975F7">
        <w:rPr>
          <w:rFonts w:cs="ＭＳ 明朝" w:hint="eastAsia"/>
          <w:sz w:val="22"/>
          <w:szCs w:val="22"/>
        </w:rPr>
        <w:t>が</w:t>
      </w:r>
      <w:r w:rsidR="00962C03" w:rsidRPr="007975F7">
        <w:rPr>
          <w:rFonts w:ascii="ＭＳ 明朝" w:hAnsi="ＭＳ 明朝" w:hint="eastAsia"/>
        </w:rPr>
        <w:t>特定投資家</w:t>
      </w:r>
      <w:r w:rsidR="00962C03" w:rsidRPr="007975F7">
        <w:rPr>
          <w:rFonts w:ascii="ＭＳ 明朝" w:hAnsi="ＭＳ 明朝" w:cs="ＭＳ 明朝" w:hint="eastAsia"/>
        </w:rPr>
        <w:t>（金商法</w:t>
      </w:r>
      <w:r w:rsidR="00962C03" w:rsidRPr="007975F7">
        <w:rPr>
          <w:rFonts w:ascii="ＭＳ 明朝" w:hAnsi="ＭＳ 明朝" w:hint="eastAsia"/>
          <w:kern w:val="0"/>
        </w:rPr>
        <w:t>第２条第</w:t>
      </w:r>
      <w:r w:rsidR="00962C03" w:rsidRPr="007975F7">
        <w:rPr>
          <w:rFonts w:ascii="ＭＳ 明朝" w:hAnsi="ＭＳ 明朝"/>
          <w:kern w:val="0"/>
        </w:rPr>
        <w:t>31</w:t>
      </w:r>
      <w:r w:rsidR="00962C03" w:rsidRPr="007975F7">
        <w:rPr>
          <w:rFonts w:ascii="ＭＳ 明朝" w:hAnsi="ＭＳ 明朝" w:hint="eastAsia"/>
          <w:kern w:val="0"/>
        </w:rPr>
        <w:t>項に規定する特定投資家（同</w:t>
      </w:r>
      <w:r w:rsidR="00962C03" w:rsidRPr="007975F7">
        <w:rPr>
          <w:rFonts w:ascii="ＭＳ 明朝" w:hAnsi="ＭＳ 明朝" w:hint="eastAsia"/>
        </w:rPr>
        <w:t>法第</w:t>
      </w:r>
      <w:r w:rsidR="00962C03" w:rsidRPr="007975F7">
        <w:rPr>
          <w:rFonts w:ascii="ＭＳ 明朝" w:hAnsi="ＭＳ 明朝"/>
        </w:rPr>
        <w:t>34</w:t>
      </w:r>
      <w:r w:rsidR="00962C03" w:rsidRPr="007975F7">
        <w:rPr>
          <w:rFonts w:ascii="ＭＳ 明朝" w:hAnsi="ＭＳ 明朝" w:hint="eastAsia"/>
        </w:rPr>
        <w:t>条の２第５項の規定により特定投資家以外の顧客とみなされる者を除き、同法第</w:t>
      </w:r>
      <w:r w:rsidR="00962C03" w:rsidRPr="007975F7">
        <w:rPr>
          <w:rFonts w:ascii="ＭＳ 明朝" w:hAnsi="ＭＳ 明朝"/>
        </w:rPr>
        <w:t>34</w:t>
      </w:r>
      <w:r w:rsidR="00962C03" w:rsidRPr="007975F7">
        <w:rPr>
          <w:rFonts w:ascii="ＭＳ 明朝" w:hAnsi="ＭＳ 明朝" w:hint="eastAsia"/>
        </w:rPr>
        <w:t>条の３第４項（同法第</w:t>
      </w:r>
      <w:r w:rsidR="00962C03" w:rsidRPr="007975F7">
        <w:rPr>
          <w:rFonts w:ascii="ＭＳ 明朝" w:hAnsi="ＭＳ 明朝"/>
        </w:rPr>
        <w:t>34</w:t>
      </w:r>
      <w:r w:rsidR="00962C03" w:rsidRPr="007975F7">
        <w:rPr>
          <w:rFonts w:ascii="ＭＳ 明朝" w:hAnsi="ＭＳ 明朝" w:hint="eastAsia"/>
        </w:rPr>
        <w:t>条の４第</w:t>
      </w:r>
      <w:r w:rsidR="001D5A2B">
        <w:rPr>
          <w:rFonts w:ascii="ＭＳ 明朝" w:hAnsi="ＭＳ 明朝" w:hint="eastAsia"/>
        </w:rPr>
        <w:t>６</w:t>
      </w:r>
      <w:r w:rsidR="00962C03" w:rsidRPr="007975F7">
        <w:rPr>
          <w:rFonts w:ascii="ＭＳ 明朝" w:hAnsi="ＭＳ 明朝" w:hint="eastAsia"/>
        </w:rPr>
        <w:t>項において準用する場合を含む。）の規定により特定投資家とみなされる者を含む。</w:t>
      </w:r>
      <w:r w:rsidR="00962C03" w:rsidRPr="007975F7">
        <w:rPr>
          <w:rFonts w:ascii="ＭＳ 明朝" w:hAnsi="ＭＳ 明朝" w:cs="ＭＳ 明朝" w:hint="eastAsia"/>
        </w:rPr>
        <w:t>）をいう。）である場合又は</w:t>
      </w:r>
      <w:r w:rsidR="00962C03" w:rsidRPr="007975F7">
        <w:rPr>
          <w:rFonts w:ascii="ＭＳ 明朝" w:hAnsi="ＭＳ 明朝" w:hint="eastAsia"/>
        </w:rPr>
        <w:t>金商法第</w:t>
      </w:r>
      <w:r w:rsidR="00962C03" w:rsidRPr="007975F7">
        <w:rPr>
          <w:rFonts w:ascii="ＭＳ 明朝" w:hAnsi="ＭＳ 明朝"/>
        </w:rPr>
        <w:t>28</w:t>
      </w:r>
      <w:r w:rsidR="00962C03" w:rsidRPr="007975F7">
        <w:rPr>
          <w:rFonts w:ascii="ＭＳ 明朝" w:hAnsi="ＭＳ 明朝" w:hint="eastAsia"/>
        </w:rPr>
        <w:t>条第４項に規定する投資運用業を行う協会員との間で、同法第２条第８項第</w:t>
      </w:r>
      <w:r w:rsidR="00962C03" w:rsidRPr="007975F7">
        <w:rPr>
          <w:rFonts w:ascii="ＭＳ 明朝" w:hAnsi="ＭＳ 明朝"/>
        </w:rPr>
        <w:t>12</w:t>
      </w:r>
      <w:r w:rsidR="00962C03" w:rsidRPr="007975F7">
        <w:rPr>
          <w:rFonts w:ascii="ＭＳ 明朝" w:hAnsi="ＭＳ 明朝" w:hint="eastAsia"/>
        </w:rPr>
        <w:t>号ロに規定する投資一任契約を締結している</w:t>
      </w:r>
      <w:r w:rsidRPr="00944C5B">
        <w:rPr>
          <w:rFonts w:ascii="ＭＳ 明朝" w:hAnsi="ＭＳ 明朝" w:cs="ＭＳ 明朝" w:hint="eastAsia"/>
          <w:sz w:val="22"/>
          <w:szCs w:val="22"/>
        </w:rPr>
        <w:t>場</w:t>
      </w:r>
      <w:r>
        <w:rPr>
          <w:rFonts w:cs="ＭＳ 明朝" w:hint="eastAsia"/>
          <w:sz w:val="22"/>
          <w:szCs w:val="22"/>
        </w:rPr>
        <w:t>合には、個別取引明細書の交付を省略することができるものとする。この場合、書面又は情報通信を利用する方法により顧客とあらかじめ個別取引明細書の交付を要しないことを合意するものとする。</w:t>
      </w:r>
    </w:p>
    <w:p w:rsidR="0072233D" w:rsidRDefault="0072233D">
      <w:pPr>
        <w:ind w:left="220" w:hangingChars="100" w:hanging="220"/>
        <w:rPr>
          <w:rFonts w:cs="Times New Roman"/>
        </w:rPr>
      </w:pPr>
      <w:r>
        <w:rPr>
          <w:rFonts w:cs="ＭＳ 明朝" w:hint="eastAsia"/>
          <w:sz w:val="22"/>
          <w:szCs w:val="22"/>
        </w:rPr>
        <w:t xml:space="preserve">４　</w:t>
      </w:r>
      <w:r>
        <w:rPr>
          <w:rFonts w:cs="ＭＳ 明朝" w:hint="eastAsia"/>
        </w:rPr>
        <w:t>第１項に規定する基本契約書には、次の各号に関する取扱いを記載するものとする。ただし、④、⑤、⑥、⑦及び⑧の項目について、顧客との間において取扱いを予定しない場合は記載を要しないものとする。</w:t>
      </w:r>
    </w:p>
    <w:p w:rsidR="0072233D" w:rsidRDefault="0072233D">
      <w:pPr>
        <w:ind w:firstLineChars="100" w:firstLine="210"/>
        <w:rPr>
          <w:rFonts w:cs="Times New Roman"/>
        </w:rPr>
      </w:pPr>
      <w:r>
        <w:rPr>
          <w:rFonts w:cs="ＭＳ 明朝" w:hint="eastAsia"/>
        </w:rPr>
        <w:t>①　個別取引明細書の交付</w:t>
      </w:r>
    </w:p>
    <w:p w:rsidR="0072233D" w:rsidRDefault="0072233D">
      <w:pPr>
        <w:ind w:firstLineChars="100" w:firstLine="210"/>
        <w:rPr>
          <w:rFonts w:cs="Times New Roman"/>
        </w:rPr>
      </w:pPr>
      <w:r>
        <w:rPr>
          <w:rFonts w:cs="ＭＳ 明朝" w:hint="eastAsia"/>
        </w:rPr>
        <w:t>②　権利移転の時期</w:t>
      </w:r>
    </w:p>
    <w:p w:rsidR="0072233D" w:rsidRDefault="0072233D">
      <w:pPr>
        <w:ind w:firstLineChars="100" w:firstLine="210"/>
        <w:rPr>
          <w:rFonts w:cs="Times New Roman"/>
        </w:rPr>
      </w:pPr>
      <w:r>
        <w:rPr>
          <w:rFonts w:cs="ＭＳ 明朝" w:hint="eastAsia"/>
        </w:rPr>
        <w:lastRenderedPageBreak/>
        <w:t>③　繰上げ償還があった場合の措置</w:t>
      </w:r>
    </w:p>
    <w:p w:rsidR="0072233D" w:rsidRDefault="0072233D">
      <w:pPr>
        <w:ind w:firstLineChars="100" w:firstLine="210"/>
        <w:rPr>
          <w:rFonts w:cs="Times New Roman"/>
        </w:rPr>
      </w:pPr>
      <w:r>
        <w:rPr>
          <w:rFonts w:cs="ＭＳ 明朝" w:hint="eastAsia"/>
        </w:rPr>
        <w:t>④　売買金額算出比率</w:t>
      </w:r>
    </w:p>
    <w:p w:rsidR="0072233D" w:rsidRDefault="0072233D">
      <w:pPr>
        <w:ind w:firstLineChars="100" w:firstLine="210"/>
        <w:rPr>
          <w:rFonts w:cs="Times New Roman"/>
        </w:rPr>
      </w:pPr>
      <w:r>
        <w:rPr>
          <w:rFonts w:cs="ＭＳ 明朝" w:hint="eastAsia"/>
        </w:rPr>
        <w:t>⑤　再評価取引</w:t>
      </w:r>
    </w:p>
    <w:p w:rsidR="0072233D" w:rsidRDefault="0072233D">
      <w:pPr>
        <w:ind w:firstLineChars="100" w:firstLine="210"/>
        <w:rPr>
          <w:rFonts w:cs="Times New Roman"/>
        </w:rPr>
      </w:pPr>
      <w:r>
        <w:rPr>
          <w:rFonts w:cs="ＭＳ 明朝" w:hint="eastAsia"/>
        </w:rPr>
        <w:t>⑥　取引対象債券等の差替え</w:t>
      </w:r>
    </w:p>
    <w:p w:rsidR="0072233D" w:rsidRDefault="0072233D">
      <w:pPr>
        <w:ind w:firstLineChars="100" w:firstLine="210"/>
        <w:rPr>
          <w:rFonts w:cs="Times New Roman"/>
        </w:rPr>
      </w:pPr>
      <w:r>
        <w:rPr>
          <w:rFonts w:cs="ＭＳ 明朝" w:hint="eastAsia"/>
        </w:rPr>
        <w:t>⑦　担保の管理等</w:t>
      </w:r>
    </w:p>
    <w:p w:rsidR="0072233D" w:rsidRDefault="0072233D">
      <w:pPr>
        <w:ind w:firstLineChars="100" w:firstLine="210"/>
        <w:rPr>
          <w:rFonts w:cs="Times New Roman"/>
        </w:rPr>
      </w:pPr>
      <w:r>
        <w:rPr>
          <w:rFonts w:cs="ＭＳ 明朝" w:hint="eastAsia"/>
        </w:rPr>
        <w:t>⑧　外国通貨による支払方法</w:t>
      </w:r>
    </w:p>
    <w:p w:rsidR="0072233D" w:rsidRDefault="0072233D">
      <w:pPr>
        <w:ind w:firstLineChars="100" w:firstLine="210"/>
        <w:rPr>
          <w:rFonts w:cs="Times New Roman"/>
        </w:rPr>
      </w:pPr>
      <w:r>
        <w:rPr>
          <w:rFonts w:cs="ＭＳ 明朝" w:hint="eastAsia"/>
        </w:rPr>
        <w:t>⑨　権利の譲渡、質入れの禁止</w:t>
      </w:r>
    </w:p>
    <w:p w:rsidR="0072233D" w:rsidRDefault="0072233D">
      <w:pPr>
        <w:ind w:leftChars="100" w:left="420" w:hangingChars="100" w:hanging="210"/>
        <w:rPr>
          <w:rFonts w:cs="Times New Roman"/>
        </w:rPr>
      </w:pPr>
      <w:r>
        <w:rPr>
          <w:rFonts w:cs="ＭＳ 明朝" w:hint="eastAsia"/>
        </w:rPr>
        <w:t>⑩　債務不履行が生じた場合の一括清算に関する取扱い</w:t>
      </w:r>
    </w:p>
    <w:p w:rsidR="0072233D" w:rsidRDefault="0072233D">
      <w:pPr>
        <w:ind w:left="210" w:hangingChars="100" w:hanging="210"/>
        <w:rPr>
          <w:rFonts w:cs="Times New Roman"/>
        </w:rPr>
      </w:pPr>
      <w:r>
        <w:rPr>
          <w:rFonts w:cs="ＭＳ 明朝" w:hint="eastAsia"/>
        </w:rPr>
        <w:t>５　第２項に規定する個別取引明細書には、次の各号に掲げる事項を記載するものとする。ただし、個別現先取引において該当しない項目については、記載を要しないものとする。</w:t>
      </w:r>
    </w:p>
    <w:p w:rsidR="0072233D" w:rsidRDefault="0072233D">
      <w:pPr>
        <w:ind w:firstLineChars="100" w:firstLine="210"/>
        <w:rPr>
          <w:rFonts w:cs="Times New Roman"/>
        </w:rPr>
      </w:pPr>
      <w:r>
        <w:rPr>
          <w:rFonts w:cs="ＭＳ 明朝" w:hint="eastAsia"/>
        </w:rPr>
        <w:t>①　買手及び売手の名称</w:t>
      </w:r>
    </w:p>
    <w:p w:rsidR="0072233D" w:rsidRDefault="0072233D">
      <w:pPr>
        <w:ind w:leftChars="100" w:left="420" w:hangingChars="100" w:hanging="210"/>
        <w:rPr>
          <w:rFonts w:cs="Times New Roman"/>
        </w:rPr>
      </w:pPr>
      <w:r>
        <w:rPr>
          <w:rFonts w:cs="ＭＳ 明朝" w:hint="eastAsia"/>
        </w:rPr>
        <w:t>②　取引対象債券等（国債の入札前取引については、入札前取引である旨及び償還予定年月日を記載し、入札日以後に遅滞なく当該銘柄を記載するものとする。</w:t>
      </w:r>
      <w:r w:rsidR="000B214D">
        <w:rPr>
          <w:rFonts w:cs="ＭＳ 明朝" w:hint="eastAsia"/>
        </w:rPr>
        <w:t>銘柄後決め現先取引</w:t>
      </w:r>
      <w:r w:rsidR="00C90C10" w:rsidRPr="0084676B">
        <w:rPr>
          <w:rFonts w:hint="eastAsia"/>
        </w:rPr>
        <w:t>（個別現先取引の成立時において、スタート取引における売買の対象となる債券等を銘柄割当機関が設定するバスケットにより特定する個別現先取引をいう。</w:t>
      </w:r>
      <w:r w:rsidR="009B5991" w:rsidRPr="00166C77">
        <w:rPr>
          <w:rFonts w:hint="eastAsia"/>
        </w:rPr>
        <w:t>当</w:t>
      </w:r>
      <w:r w:rsidR="003220FE" w:rsidRPr="00166C77">
        <w:rPr>
          <w:rFonts w:hint="eastAsia"/>
        </w:rPr>
        <w:t>該個別</w:t>
      </w:r>
      <w:r w:rsidR="00E2744B">
        <w:rPr>
          <w:rFonts w:hint="eastAsia"/>
        </w:rPr>
        <w:t>現先取引の取引対象債券はバスケットに基づき銘柄</w:t>
      </w:r>
      <w:bookmarkStart w:id="0" w:name="_GoBack"/>
      <w:bookmarkEnd w:id="0"/>
      <w:r w:rsidR="009B5991" w:rsidRPr="00166C77">
        <w:rPr>
          <w:rFonts w:hint="eastAsia"/>
        </w:rPr>
        <w:t>割当機関が割り当てた債券をいう。</w:t>
      </w:r>
      <w:r w:rsidR="00C90C10" w:rsidRPr="0084676B">
        <w:rPr>
          <w:rFonts w:hint="eastAsia"/>
        </w:rPr>
        <w:t>）</w:t>
      </w:r>
      <w:r w:rsidR="000B214D">
        <w:rPr>
          <w:rFonts w:cs="ＭＳ 明朝" w:hint="eastAsia"/>
        </w:rPr>
        <w:t>については、バスケットの名称、略称又は銘柄コードを記載するものとする。</w:t>
      </w:r>
      <w:r>
        <w:rPr>
          <w:rFonts w:cs="ＭＳ 明朝" w:hint="eastAsia"/>
        </w:rPr>
        <w:t>）</w:t>
      </w:r>
    </w:p>
    <w:p w:rsidR="0072233D" w:rsidRDefault="0072233D">
      <w:pPr>
        <w:ind w:firstLineChars="100" w:firstLine="210"/>
        <w:rPr>
          <w:rFonts w:cs="Times New Roman"/>
        </w:rPr>
      </w:pPr>
      <w:r>
        <w:rPr>
          <w:rFonts w:cs="ＭＳ 明朝" w:hint="eastAsia"/>
        </w:rPr>
        <w:t>③　取引数量</w:t>
      </w:r>
      <w:r w:rsidR="009A699D" w:rsidRPr="0084676B">
        <w:rPr>
          <w:rFonts w:cs="ＭＳ 明朝" w:hint="eastAsia"/>
        </w:rPr>
        <w:t>（銘柄後決め現先取引については、記載を</w:t>
      </w:r>
      <w:r w:rsidR="00B10CE5" w:rsidRPr="0084676B">
        <w:rPr>
          <w:rFonts w:cs="ＭＳ 明朝" w:hint="eastAsia"/>
        </w:rPr>
        <w:t>要しないもの</w:t>
      </w:r>
      <w:r w:rsidR="009A699D" w:rsidRPr="0084676B">
        <w:rPr>
          <w:rFonts w:cs="ＭＳ 明朝" w:hint="eastAsia"/>
        </w:rPr>
        <w:t>とする。）</w:t>
      </w:r>
    </w:p>
    <w:p w:rsidR="0072233D" w:rsidRDefault="0072233D">
      <w:pPr>
        <w:ind w:firstLineChars="100" w:firstLine="210"/>
        <w:rPr>
          <w:rFonts w:cs="Times New Roman"/>
        </w:rPr>
      </w:pPr>
      <w:r>
        <w:rPr>
          <w:rFonts w:cs="ＭＳ 明朝" w:hint="eastAsia"/>
        </w:rPr>
        <w:t>④　現先レート</w:t>
      </w:r>
    </w:p>
    <w:p w:rsidR="0072233D" w:rsidRDefault="0072233D">
      <w:pPr>
        <w:ind w:firstLineChars="100" w:firstLine="210"/>
        <w:rPr>
          <w:rFonts w:cs="Times New Roman"/>
        </w:rPr>
      </w:pPr>
      <w:r>
        <w:rPr>
          <w:rFonts w:cs="ＭＳ 明朝" w:hint="eastAsia"/>
        </w:rPr>
        <w:t>⑤　取引約定日</w:t>
      </w:r>
    </w:p>
    <w:p w:rsidR="0072233D" w:rsidRDefault="0072233D">
      <w:pPr>
        <w:ind w:leftChars="100" w:left="420" w:hangingChars="100" w:hanging="210"/>
        <w:rPr>
          <w:rFonts w:cs="Times New Roman"/>
        </w:rPr>
      </w:pPr>
      <w:r>
        <w:rPr>
          <w:rFonts w:cs="ＭＳ 明朝" w:hint="eastAsia"/>
        </w:rPr>
        <w:t>⑥　スタート取引受渡日</w:t>
      </w:r>
    </w:p>
    <w:p w:rsidR="0072233D" w:rsidRPr="0084676B" w:rsidRDefault="0072233D">
      <w:pPr>
        <w:ind w:leftChars="100" w:left="420" w:hangingChars="100" w:hanging="210"/>
        <w:rPr>
          <w:rFonts w:cs="Times New Roman"/>
        </w:rPr>
      </w:pPr>
      <w:r>
        <w:rPr>
          <w:rFonts w:cs="ＭＳ 明朝" w:hint="eastAsia"/>
        </w:rPr>
        <w:t>⑦　スタート売買単価</w:t>
      </w:r>
      <w:r w:rsidRPr="0084676B">
        <w:rPr>
          <w:rFonts w:cs="ＭＳ 明朝" w:hint="eastAsia"/>
        </w:rPr>
        <w:t>（</w:t>
      </w:r>
      <w:r w:rsidR="0036340F" w:rsidRPr="0084676B">
        <w:rPr>
          <w:rFonts w:cs="ＭＳ 明朝" w:hint="eastAsia"/>
        </w:rPr>
        <w:t>銘柄後決め現先取引については、記載を要しないものとする。</w:t>
      </w:r>
      <w:r w:rsidRPr="0084676B">
        <w:rPr>
          <w:rFonts w:cs="ＭＳ 明朝" w:hint="eastAsia"/>
        </w:rPr>
        <w:t>国債の入札前取引については、入札日以後に遅滞なく当該単価を記載するものとする。）</w:t>
      </w:r>
    </w:p>
    <w:p w:rsidR="0072233D" w:rsidRPr="0084676B" w:rsidRDefault="0072233D">
      <w:pPr>
        <w:ind w:leftChars="100" w:left="420" w:hangingChars="100" w:hanging="210"/>
        <w:rPr>
          <w:rFonts w:cs="Times New Roman"/>
        </w:rPr>
      </w:pPr>
      <w:r w:rsidRPr="0084676B">
        <w:rPr>
          <w:rFonts w:cs="ＭＳ 明朝" w:hint="eastAsia"/>
        </w:rPr>
        <w:t>⑧　スタート売買金額（国債の入札前取引については、入札日以後に遅滞なく当該金額を記載するものとする。）</w:t>
      </w:r>
    </w:p>
    <w:p w:rsidR="0072233D" w:rsidRPr="0084676B" w:rsidRDefault="0072233D">
      <w:pPr>
        <w:ind w:firstLineChars="100" w:firstLine="210"/>
        <w:rPr>
          <w:rFonts w:cs="Times New Roman"/>
        </w:rPr>
      </w:pPr>
      <w:r w:rsidRPr="0084676B">
        <w:rPr>
          <w:rFonts w:cs="ＭＳ 明朝" w:hint="eastAsia"/>
        </w:rPr>
        <w:t>⑨　売買金額算出比率</w:t>
      </w:r>
      <w:r w:rsidR="009A699D" w:rsidRPr="0084676B">
        <w:rPr>
          <w:rFonts w:cs="ＭＳ 明朝" w:hint="eastAsia"/>
        </w:rPr>
        <w:t>（銘柄後決め現先取引については、記載を</w:t>
      </w:r>
      <w:r w:rsidR="00B10CE5" w:rsidRPr="0084676B">
        <w:rPr>
          <w:rFonts w:cs="ＭＳ 明朝" w:hint="eastAsia"/>
        </w:rPr>
        <w:t>要しないもの</w:t>
      </w:r>
      <w:r w:rsidR="009A699D" w:rsidRPr="0084676B">
        <w:rPr>
          <w:rFonts w:cs="ＭＳ 明朝" w:hint="eastAsia"/>
        </w:rPr>
        <w:t>とする。）</w:t>
      </w:r>
    </w:p>
    <w:p w:rsidR="0072233D" w:rsidRPr="0084676B" w:rsidRDefault="0072233D">
      <w:pPr>
        <w:ind w:leftChars="100" w:left="420" w:hangingChars="100" w:hanging="210"/>
        <w:rPr>
          <w:rFonts w:cs="Times New Roman"/>
        </w:rPr>
      </w:pPr>
      <w:r w:rsidRPr="0084676B">
        <w:rPr>
          <w:rFonts w:cs="ＭＳ 明朝" w:hint="eastAsia"/>
        </w:rPr>
        <w:t>⑩　エンド取引受渡日（利含み現先取引において、エンド取引受渡日が取引約定日よりも後に定められる場合で、当該エンド取引受渡日の確定後遅滞なく当該エンド取引受渡日を記載した書面を交付する旨の合意をした場合には、記載を要しないものとする。）</w:t>
      </w:r>
    </w:p>
    <w:p w:rsidR="0072233D" w:rsidRDefault="0072233D">
      <w:pPr>
        <w:ind w:leftChars="100" w:left="420" w:hangingChars="100" w:hanging="210"/>
        <w:rPr>
          <w:rFonts w:cs="Times New Roman"/>
        </w:rPr>
      </w:pPr>
      <w:r w:rsidRPr="0084676B">
        <w:rPr>
          <w:rFonts w:cs="ＭＳ 明朝" w:hint="eastAsia"/>
        </w:rPr>
        <w:t>⑪　エンド売買単価（利含み現先取引において、エンド取引の受渡条件の確定後遅滞なく当該事項を記載した書面を交付する旨の合意をした場合</w:t>
      </w:r>
      <w:r w:rsidR="0036340F" w:rsidRPr="0084676B">
        <w:rPr>
          <w:rFonts w:cs="ＭＳ 明朝" w:hint="eastAsia"/>
        </w:rPr>
        <w:t>若しくは銘柄後決め現先取引について</w:t>
      </w:r>
      <w:r>
        <w:rPr>
          <w:rFonts w:cs="ＭＳ 明朝" w:hint="eastAsia"/>
        </w:rPr>
        <w:t>は、記載を要しないものとする。また、国債の入札前取引については、入札日以後に遅滞なく当該単価を記載するものとする。）</w:t>
      </w:r>
    </w:p>
    <w:p w:rsidR="0072233D" w:rsidRDefault="0072233D">
      <w:pPr>
        <w:pStyle w:val="21"/>
        <w:rPr>
          <w:rFonts w:cs="Times New Roman"/>
        </w:rPr>
      </w:pPr>
      <w:r>
        <w:rPr>
          <w:rFonts w:cs="ＭＳ 明朝" w:hint="eastAsia"/>
        </w:rPr>
        <w:t>⑫　エンド売買金額（利含み現先取引において、エンド取引の受渡条件の確定後遅滞なく当該事項を記載した書面を交付する旨の合意をした場合には、記載を要しないものとする。また、国債の入札前取引については、入札日以後に遅滞なく当該金額を記載する</w:t>
      </w:r>
      <w:r>
        <w:rPr>
          <w:rFonts w:cs="ＭＳ 明朝" w:hint="eastAsia"/>
        </w:rPr>
        <w:lastRenderedPageBreak/>
        <w:t>ものとする。）</w:t>
      </w:r>
    </w:p>
    <w:p w:rsidR="0072233D" w:rsidRDefault="0072233D">
      <w:pPr>
        <w:ind w:leftChars="100" w:left="420" w:hangingChars="100" w:hanging="210"/>
        <w:rPr>
          <w:rFonts w:cs="Times New Roman"/>
        </w:rPr>
      </w:pPr>
      <w:r>
        <w:rPr>
          <w:rFonts w:cs="ＭＳ 明朝" w:hint="eastAsia"/>
        </w:rPr>
        <w:t>⑬　その他当該個別現先取引について特に定める事項</w:t>
      </w:r>
    </w:p>
    <w:p w:rsidR="0072233D" w:rsidRDefault="0072233D">
      <w:pPr>
        <w:pStyle w:val="a5"/>
        <w:ind w:left="210" w:hanging="210"/>
        <w:rPr>
          <w:rFonts w:cs="Times New Roman"/>
          <w:sz w:val="22"/>
          <w:szCs w:val="22"/>
        </w:rPr>
      </w:pPr>
      <w:r>
        <w:rPr>
          <w:rFonts w:hint="eastAsia"/>
          <w:sz w:val="22"/>
          <w:szCs w:val="22"/>
        </w:rPr>
        <w:t>６　第３項に基づき、個別取引明細書の交付を省略する場合には、債券等の現先取引の約定が成立したとき、速やかに顧客との間で第５項に掲げる事項を顧客との間で合意する方法により確認するものとする。また、顧客から債券等の現先取引の内容に関する照会があったときは、文書、口頭、電信又は電話、電子情報処理組織を使用する方法その他の方法により速やかに回答するものとする。</w:t>
      </w:r>
    </w:p>
    <w:p w:rsidR="0072233D" w:rsidRDefault="0072233D">
      <w:pPr>
        <w:pStyle w:val="a5"/>
        <w:ind w:left="210" w:hanging="210"/>
        <w:rPr>
          <w:rFonts w:cs="Times New Roman"/>
          <w:sz w:val="22"/>
          <w:szCs w:val="22"/>
        </w:rPr>
      </w:pPr>
    </w:p>
    <w:p w:rsidR="0072233D" w:rsidRDefault="0072233D">
      <w:pPr>
        <w:pStyle w:val="a5"/>
        <w:ind w:left="210" w:hanging="210"/>
        <w:rPr>
          <w:rFonts w:cs="Times New Roman"/>
          <w:sz w:val="22"/>
          <w:szCs w:val="22"/>
        </w:rPr>
      </w:pPr>
      <w:r>
        <w:rPr>
          <w:rFonts w:hint="eastAsia"/>
          <w:sz w:val="22"/>
          <w:szCs w:val="22"/>
        </w:rPr>
        <w:t>（</w:t>
      </w:r>
      <w:r w:rsidR="0085172B">
        <w:rPr>
          <w:rFonts w:hint="eastAsia"/>
          <w:sz w:val="22"/>
          <w:szCs w:val="22"/>
        </w:rPr>
        <w:t>契約締結時書面交付</w:t>
      </w:r>
      <w:r>
        <w:rPr>
          <w:rFonts w:hint="eastAsia"/>
          <w:sz w:val="22"/>
          <w:szCs w:val="22"/>
        </w:rPr>
        <w:t>の省略）</w:t>
      </w:r>
    </w:p>
    <w:p w:rsidR="0072233D" w:rsidRDefault="0072233D">
      <w:pPr>
        <w:pStyle w:val="a5"/>
        <w:ind w:left="210" w:hanging="210"/>
        <w:rPr>
          <w:rFonts w:cs="Times New Roman"/>
          <w:sz w:val="22"/>
          <w:szCs w:val="22"/>
        </w:rPr>
      </w:pPr>
      <w:r>
        <w:rPr>
          <w:rFonts w:hint="eastAsia"/>
          <w:sz w:val="22"/>
          <w:szCs w:val="22"/>
        </w:rPr>
        <w:t>第</w:t>
      </w:r>
      <w:r>
        <w:rPr>
          <w:sz w:val="22"/>
          <w:szCs w:val="22"/>
        </w:rPr>
        <w:t xml:space="preserve"> </w:t>
      </w:r>
      <w:r>
        <w:rPr>
          <w:rFonts w:hint="eastAsia"/>
          <w:sz w:val="22"/>
          <w:szCs w:val="22"/>
        </w:rPr>
        <w:t>４</w:t>
      </w:r>
      <w:r>
        <w:rPr>
          <w:sz w:val="22"/>
          <w:szCs w:val="22"/>
        </w:rPr>
        <w:t xml:space="preserve"> </w:t>
      </w:r>
      <w:r>
        <w:rPr>
          <w:rFonts w:hint="eastAsia"/>
          <w:sz w:val="22"/>
          <w:szCs w:val="22"/>
        </w:rPr>
        <w:t>条　当社は、顧客との間において、前条第</w:t>
      </w:r>
      <w:r>
        <w:rPr>
          <w:sz w:val="22"/>
          <w:szCs w:val="22"/>
        </w:rPr>
        <w:t>2</w:t>
      </w:r>
      <w:r>
        <w:rPr>
          <w:rFonts w:hint="eastAsia"/>
          <w:sz w:val="22"/>
          <w:szCs w:val="22"/>
        </w:rPr>
        <w:t>項に規定する個別取引明細書を当該顧客に交付した場合又は前条第３項に基づき個別取引明細書の交付を省略する場合には、</w:t>
      </w:r>
      <w:r w:rsidR="0085172B">
        <w:rPr>
          <w:rFonts w:hint="eastAsia"/>
          <w:sz w:val="22"/>
          <w:szCs w:val="22"/>
        </w:rPr>
        <w:t>契約締結時書面交付</w:t>
      </w:r>
      <w:r>
        <w:rPr>
          <w:rFonts w:hint="eastAsia"/>
          <w:sz w:val="22"/>
          <w:szCs w:val="22"/>
        </w:rPr>
        <w:t>の作成、交付は省略することができる（ただし、外国貸付債権信託受益証券の場合を除く。）。</w:t>
      </w:r>
    </w:p>
    <w:p w:rsidR="0072233D" w:rsidRDefault="0072233D">
      <w:pPr>
        <w:pStyle w:val="a5"/>
        <w:rPr>
          <w:rFonts w:cs="Times New Roman"/>
          <w:sz w:val="22"/>
          <w:szCs w:val="22"/>
        </w:rPr>
      </w:pPr>
    </w:p>
    <w:p w:rsidR="0072233D" w:rsidRDefault="0072233D">
      <w:pPr>
        <w:pStyle w:val="a5"/>
        <w:rPr>
          <w:rFonts w:cs="Times New Roman"/>
          <w:sz w:val="22"/>
          <w:szCs w:val="22"/>
        </w:rPr>
      </w:pPr>
      <w:r>
        <w:rPr>
          <w:rFonts w:hint="eastAsia"/>
          <w:sz w:val="22"/>
          <w:szCs w:val="22"/>
        </w:rPr>
        <w:t>（対象顧客）</w:t>
      </w:r>
    </w:p>
    <w:p w:rsidR="0072233D" w:rsidRDefault="0072233D">
      <w:pPr>
        <w:pStyle w:val="a5"/>
        <w:ind w:left="210" w:hanging="210"/>
        <w:rPr>
          <w:rFonts w:cs="Times New Roman"/>
          <w:sz w:val="22"/>
          <w:szCs w:val="22"/>
        </w:rPr>
      </w:pPr>
      <w:r>
        <w:rPr>
          <w:rFonts w:hint="eastAsia"/>
          <w:sz w:val="22"/>
          <w:szCs w:val="22"/>
        </w:rPr>
        <w:t>第</w:t>
      </w:r>
      <w:r>
        <w:rPr>
          <w:sz w:val="22"/>
          <w:szCs w:val="22"/>
        </w:rPr>
        <w:t xml:space="preserve"> </w:t>
      </w:r>
      <w:r>
        <w:rPr>
          <w:rFonts w:hint="eastAsia"/>
          <w:sz w:val="22"/>
          <w:szCs w:val="22"/>
        </w:rPr>
        <w:t>５</w:t>
      </w:r>
      <w:r>
        <w:rPr>
          <w:sz w:val="22"/>
          <w:szCs w:val="22"/>
        </w:rPr>
        <w:t xml:space="preserve"> </w:t>
      </w:r>
      <w:r>
        <w:rPr>
          <w:rFonts w:hint="eastAsia"/>
          <w:sz w:val="22"/>
          <w:szCs w:val="22"/>
        </w:rPr>
        <w:t>条　債券等の現先取引の対象顧客は、別に定める「現先取引取引先選別基準」に従い、上場会社又はこれに準ずる会社等経済的、社会的に信用のある法人に限るものとし、その選定に当たっては、顧客の財務内容、資金繰り状況、収益性等について慎重な検討を加える。</w:t>
      </w:r>
    </w:p>
    <w:p w:rsidR="0072233D" w:rsidRDefault="0072233D">
      <w:pPr>
        <w:pStyle w:val="a5"/>
        <w:rPr>
          <w:rFonts w:cs="Times New Roman"/>
          <w:sz w:val="22"/>
          <w:szCs w:val="22"/>
        </w:rPr>
      </w:pPr>
    </w:p>
    <w:p w:rsidR="0072233D" w:rsidRDefault="0072233D">
      <w:pPr>
        <w:pStyle w:val="a5"/>
        <w:rPr>
          <w:rFonts w:cs="Times New Roman"/>
          <w:sz w:val="22"/>
          <w:szCs w:val="22"/>
        </w:rPr>
      </w:pPr>
      <w:r>
        <w:rPr>
          <w:rFonts w:hint="eastAsia"/>
          <w:sz w:val="22"/>
          <w:szCs w:val="22"/>
        </w:rPr>
        <w:t>（取引対象債券等の範囲）</w:t>
      </w:r>
    </w:p>
    <w:p w:rsidR="0072233D" w:rsidRDefault="0072233D">
      <w:pPr>
        <w:pStyle w:val="a5"/>
        <w:ind w:left="210" w:hanging="210"/>
        <w:rPr>
          <w:rFonts w:cs="Times New Roman"/>
          <w:sz w:val="22"/>
          <w:szCs w:val="22"/>
        </w:rPr>
      </w:pPr>
      <w:r>
        <w:rPr>
          <w:rFonts w:hint="eastAsia"/>
          <w:sz w:val="22"/>
          <w:szCs w:val="22"/>
        </w:rPr>
        <w:t>第</w:t>
      </w:r>
      <w:r>
        <w:rPr>
          <w:sz w:val="22"/>
          <w:szCs w:val="22"/>
        </w:rPr>
        <w:t xml:space="preserve"> </w:t>
      </w:r>
      <w:r>
        <w:rPr>
          <w:rFonts w:hint="eastAsia"/>
          <w:sz w:val="22"/>
          <w:szCs w:val="22"/>
        </w:rPr>
        <w:t>６</w:t>
      </w:r>
      <w:r>
        <w:rPr>
          <w:sz w:val="22"/>
          <w:szCs w:val="22"/>
        </w:rPr>
        <w:t xml:space="preserve"> </w:t>
      </w:r>
      <w:r>
        <w:rPr>
          <w:rFonts w:hint="eastAsia"/>
          <w:sz w:val="22"/>
          <w:szCs w:val="22"/>
        </w:rPr>
        <w:t>条　当社が債券等の現先取引において取り扱う有価証券は、次の各号に掲げるものとする。</w:t>
      </w:r>
    </w:p>
    <w:p w:rsidR="0072233D" w:rsidRPr="007975F7" w:rsidRDefault="0072233D">
      <w:pPr>
        <w:pStyle w:val="a5"/>
        <w:ind w:left="210"/>
        <w:rPr>
          <w:rFonts w:cs="Times New Roman"/>
          <w:sz w:val="22"/>
          <w:szCs w:val="22"/>
        </w:rPr>
      </w:pPr>
      <w:r w:rsidRPr="007975F7">
        <w:rPr>
          <w:rFonts w:hint="eastAsia"/>
          <w:sz w:val="22"/>
          <w:szCs w:val="22"/>
        </w:rPr>
        <w:t>①　国債証券</w:t>
      </w:r>
      <w:r w:rsidR="00944C5B" w:rsidRPr="007975F7">
        <w:rPr>
          <w:rFonts w:hAnsi="ＭＳ 明朝" w:hint="eastAsia"/>
        </w:rPr>
        <w:t>（金商法第２条第１項第１号に掲げる国債証券をいう。）</w:t>
      </w:r>
    </w:p>
    <w:p w:rsidR="0072233D" w:rsidRPr="007975F7" w:rsidRDefault="0072233D">
      <w:pPr>
        <w:pStyle w:val="a5"/>
        <w:ind w:left="210"/>
        <w:rPr>
          <w:rFonts w:cs="Times New Roman"/>
          <w:sz w:val="22"/>
          <w:szCs w:val="22"/>
        </w:rPr>
      </w:pPr>
      <w:r w:rsidRPr="007975F7">
        <w:rPr>
          <w:rFonts w:hint="eastAsia"/>
          <w:sz w:val="22"/>
          <w:szCs w:val="22"/>
        </w:rPr>
        <w:t>②　地方債証券</w:t>
      </w:r>
      <w:r w:rsidR="00944C5B" w:rsidRPr="007975F7">
        <w:rPr>
          <w:rFonts w:hAnsi="ＭＳ 明朝" w:hint="eastAsia"/>
        </w:rPr>
        <w:t>（金商法第２条第１項第２号に掲げる地方債証券をいう。）</w:t>
      </w:r>
    </w:p>
    <w:p w:rsidR="0072233D" w:rsidRPr="007975F7" w:rsidRDefault="0072233D" w:rsidP="00D82183">
      <w:pPr>
        <w:pStyle w:val="a5"/>
        <w:ind w:leftChars="100" w:left="430" w:hangingChars="100" w:hanging="220"/>
        <w:rPr>
          <w:rFonts w:cs="Times New Roman"/>
          <w:sz w:val="22"/>
          <w:szCs w:val="22"/>
        </w:rPr>
      </w:pPr>
      <w:r w:rsidRPr="007975F7">
        <w:rPr>
          <w:rFonts w:hint="eastAsia"/>
          <w:sz w:val="22"/>
          <w:szCs w:val="22"/>
        </w:rPr>
        <w:t>③　特別の法律により法人の発行する債券</w:t>
      </w:r>
      <w:r w:rsidR="00944C5B" w:rsidRPr="007975F7">
        <w:rPr>
          <w:rFonts w:hAnsi="ＭＳ 明朝" w:hint="eastAsia"/>
          <w:spacing w:val="-4"/>
        </w:rPr>
        <w:t>（金商法第２条第１項第３号に掲げる債券をいう。）</w:t>
      </w:r>
    </w:p>
    <w:p w:rsidR="0072233D" w:rsidRPr="007975F7" w:rsidRDefault="0072233D">
      <w:pPr>
        <w:pStyle w:val="a5"/>
        <w:ind w:left="210"/>
        <w:rPr>
          <w:rFonts w:cs="Times New Roman"/>
          <w:sz w:val="22"/>
          <w:szCs w:val="22"/>
        </w:rPr>
      </w:pPr>
      <w:r w:rsidRPr="007975F7">
        <w:rPr>
          <w:rFonts w:hint="eastAsia"/>
          <w:sz w:val="22"/>
          <w:szCs w:val="22"/>
        </w:rPr>
        <w:t>④　特定社債券</w:t>
      </w:r>
      <w:r w:rsidR="00944C5B" w:rsidRPr="007975F7">
        <w:rPr>
          <w:rFonts w:hAnsi="ＭＳ 明朝" w:hint="eastAsia"/>
        </w:rPr>
        <w:t>（金商法第２条第１項第４号に掲げる特定社債券をいう。）</w:t>
      </w:r>
    </w:p>
    <w:p w:rsidR="0072233D" w:rsidRPr="007975F7" w:rsidRDefault="0072233D" w:rsidP="00D82183">
      <w:pPr>
        <w:pStyle w:val="a5"/>
        <w:ind w:leftChars="100" w:left="430" w:hangingChars="100" w:hanging="220"/>
        <w:rPr>
          <w:sz w:val="22"/>
          <w:szCs w:val="22"/>
        </w:rPr>
      </w:pPr>
      <w:r w:rsidRPr="007975F7">
        <w:rPr>
          <w:rFonts w:hint="eastAsia"/>
          <w:sz w:val="22"/>
          <w:szCs w:val="22"/>
        </w:rPr>
        <w:t>⑤　社債券</w:t>
      </w:r>
      <w:r w:rsidR="00944C5B" w:rsidRPr="007975F7">
        <w:rPr>
          <w:rFonts w:hAnsi="ＭＳ 明朝" w:hint="eastAsia"/>
        </w:rPr>
        <w:t>（金商法第２条第１項第５号に掲げる社債券をいう。ただし、新株予約権付社債券を除く。）</w:t>
      </w:r>
    </w:p>
    <w:p w:rsidR="00944C5B" w:rsidRPr="007975F7" w:rsidRDefault="00944C5B" w:rsidP="00D82183">
      <w:pPr>
        <w:pStyle w:val="a5"/>
        <w:ind w:leftChars="100" w:left="430" w:hangingChars="100" w:hanging="220"/>
        <w:rPr>
          <w:rFonts w:cs="Times New Roman"/>
          <w:sz w:val="22"/>
          <w:szCs w:val="22"/>
        </w:rPr>
      </w:pPr>
      <w:r w:rsidRPr="007975F7">
        <w:rPr>
          <w:rFonts w:hint="eastAsia"/>
          <w:sz w:val="22"/>
          <w:szCs w:val="22"/>
        </w:rPr>
        <w:t xml:space="preserve">⑥　</w:t>
      </w:r>
      <w:r w:rsidRPr="007975F7">
        <w:rPr>
          <w:rFonts w:hAnsi="ＭＳ 明朝" w:hint="eastAsia"/>
        </w:rPr>
        <w:t>投資法人債券（金商法第２条第１項第</w:t>
      </w:r>
      <w:r w:rsidRPr="007975F7">
        <w:rPr>
          <w:rFonts w:hAnsi="ＭＳ 明朝"/>
        </w:rPr>
        <w:t>11</w:t>
      </w:r>
      <w:r w:rsidRPr="007975F7">
        <w:rPr>
          <w:rFonts w:hAnsi="ＭＳ 明朝" w:hint="eastAsia"/>
        </w:rPr>
        <w:t>号に掲げる投資法人債券をいう。）</w:t>
      </w:r>
    </w:p>
    <w:p w:rsidR="0072233D" w:rsidRPr="007975F7" w:rsidRDefault="00944C5B">
      <w:pPr>
        <w:pStyle w:val="a5"/>
        <w:ind w:left="210"/>
        <w:rPr>
          <w:rFonts w:cs="Times New Roman"/>
          <w:sz w:val="22"/>
          <w:szCs w:val="22"/>
        </w:rPr>
      </w:pPr>
      <w:r w:rsidRPr="007975F7">
        <w:rPr>
          <w:rFonts w:hint="eastAsia"/>
          <w:sz w:val="22"/>
          <w:szCs w:val="22"/>
        </w:rPr>
        <w:t>⑦</w:t>
      </w:r>
      <w:r w:rsidR="0072233D" w:rsidRPr="007975F7">
        <w:rPr>
          <w:rFonts w:hint="eastAsia"/>
          <w:sz w:val="22"/>
          <w:szCs w:val="22"/>
        </w:rPr>
        <w:t xml:space="preserve">　</w:t>
      </w:r>
      <w:r w:rsidRPr="007975F7">
        <w:rPr>
          <w:rFonts w:hAnsi="ＭＳ 明朝" w:hint="eastAsia"/>
        </w:rPr>
        <w:t>外国又は外国の者の発行する債券で前各号の性質を有するもの</w:t>
      </w:r>
    </w:p>
    <w:p w:rsidR="0072233D" w:rsidRPr="007975F7" w:rsidRDefault="00944C5B">
      <w:pPr>
        <w:pStyle w:val="a5"/>
        <w:ind w:left="210"/>
        <w:rPr>
          <w:rFonts w:hAnsi="ＭＳ 明朝"/>
        </w:rPr>
      </w:pPr>
      <w:r w:rsidRPr="007975F7">
        <w:rPr>
          <w:rFonts w:hint="eastAsia"/>
          <w:sz w:val="22"/>
          <w:szCs w:val="22"/>
        </w:rPr>
        <w:t>⑧</w:t>
      </w:r>
      <w:r w:rsidR="0072233D" w:rsidRPr="007975F7">
        <w:rPr>
          <w:rFonts w:hint="eastAsia"/>
          <w:sz w:val="22"/>
          <w:szCs w:val="22"/>
        </w:rPr>
        <w:t xml:space="preserve">　国内ＣＰ</w:t>
      </w:r>
      <w:r w:rsidR="0072233D" w:rsidRPr="007975F7">
        <w:rPr>
          <w:rFonts w:hAnsi="ＭＳ 明朝" w:hint="eastAsia"/>
        </w:rPr>
        <w:t>（金商法第２条第１項第</w:t>
      </w:r>
      <w:r w:rsidR="0072233D" w:rsidRPr="007975F7">
        <w:rPr>
          <w:rFonts w:hAnsi="ＭＳ 明朝"/>
        </w:rPr>
        <w:t>15</w:t>
      </w:r>
      <w:r w:rsidR="0072233D" w:rsidRPr="007975F7">
        <w:rPr>
          <w:rFonts w:hAnsi="ＭＳ 明朝" w:hint="eastAsia"/>
        </w:rPr>
        <w:t>号に掲げる約束手形及び同項第</w:t>
      </w:r>
      <w:r w:rsidR="0072233D" w:rsidRPr="007975F7">
        <w:rPr>
          <w:rFonts w:hAnsi="ＭＳ 明朝"/>
        </w:rPr>
        <w:t>17</w:t>
      </w:r>
      <w:r w:rsidR="0072233D" w:rsidRPr="007975F7">
        <w:rPr>
          <w:rFonts w:hAnsi="ＭＳ 明朝" w:hint="eastAsia"/>
        </w:rPr>
        <w:t xml:space="preserve">号に掲げる　　</w:t>
      </w:r>
    </w:p>
    <w:p w:rsidR="0072233D" w:rsidRPr="007975F7" w:rsidRDefault="0072233D" w:rsidP="00D82183">
      <w:pPr>
        <w:pStyle w:val="a5"/>
        <w:ind w:leftChars="200" w:left="420"/>
        <w:rPr>
          <w:rFonts w:cs="Times New Roman"/>
          <w:sz w:val="22"/>
          <w:szCs w:val="22"/>
        </w:rPr>
      </w:pPr>
      <w:r w:rsidRPr="007975F7">
        <w:rPr>
          <w:rFonts w:hAnsi="ＭＳ 明朝" w:hint="eastAsia"/>
        </w:rPr>
        <w:t>証券又は証書で同項第</w:t>
      </w:r>
      <w:r w:rsidRPr="007975F7">
        <w:rPr>
          <w:rFonts w:hAnsi="ＭＳ 明朝"/>
        </w:rPr>
        <w:t>15</w:t>
      </w:r>
      <w:r w:rsidRPr="007975F7">
        <w:rPr>
          <w:rFonts w:hAnsi="ＭＳ 明朝" w:hint="eastAsia"/>
        </w:rPr>
        <w:t>号に掲げる約束手形の性質を有するもののうち、国内において発行されたものをいう。）</w:t>
      </w:r>
    </w:p>
    <w:p w:rsidR="0072233D" w:rsidRPr="007975F7" w:rsidRDefault="00944C5B">
      <w:pPr>
        <w:pStyle w:val="a5"/>
        <w:ind w:left="210"/>
        <w:rPr>
          <w:rFonts w:hAnsi="ＭＳ 明朝"/>
        </w:rPr>
      </w:pPr>
      <w:r w:rsidRPr="007975F7">
        <w:rPr>
          <w:rFonts w:hint="eastAsia"/>
          <w:sz w:val="22"/>
          <w:szCs w:val="22"/>
        </w:rPr>
        <w:t>⑨</w:t>
      </w:r>
      <w:r w:rsidR="0072233D" w:rsidRPr="007975F7">
        <w:rPr>
          <w:rFonts w:hint="eastAsia"/>
          <w:sz w:val="22"/>
          <w:szCs w:val="22"/>
        </w:rPr>
        <w:t xml:space="preserve">　海外ＣＤ</w:t>
      </w:r>
      <w:r w:rsidR="0072233D" w:rsidRPr="007975F7">
        <w:rPr>
          <w:rFonts w:hAnsi="ＭＳ 明朝" w:hint="eastAsia"/>
        </w:rPr>
        <w:t xml:space="preserve">（金融商品取引法施行令第１条第１号に掲げる譲渡性預金の預金証書をい　</w:t>
      </w:r>
    </w:p>
    <w:p w:rsidR="0072233D" w:rsidRPr="007975F7" w:rsidRDefault="0072233D" w:rsidP="0072233D">
      <w:pPr>
        <w:pStyle w:val="a5"/>
        <w:ind w:leftChars="100" w:left="210" w:firstLineChars="100" w:firstLine="210"/>
        <w:rPr>
          <w:rFonts w:cs="Times New Roman"/>
          <w:sz w:val="22"/>
          <w:szCs w:val="22"/>
        </w:rPr>
      </w:pPr>
      <w:r w:rsidRPr="007975F7">
        <w:rPr>
          <w:rFonts w:hAnsi="ＭＳ 明朝" w:hint="eastAsia"/>
        </w:rPr>
        <w:lastRenderedPageBreak/>
        <w:t>う。）</w:t>
      </w:r>
    </w:p>
    <w:p w:rsidR="0072233D" w:rsidRPr="007975F7" w:rsidRDefault="00944C5B">
      <w:pPr>
        <w:pStyle w:val="a5"/>
        <w:ind w:left="210"/>
        <w:rPr>
          <w:rFonts w:hAnsi="ＭＳ 明朝"/>
        </w:rPr>
      </w:pPr>
      <w:r w:rsidRPr="007975F7">
        <w:rPr>
          <w:rFonts w:hint="eastAsia"/>
          <w:sz w:val="22"/>
          <w:szCs w:val="22"/>
        </w:rPr>
        <w:t>⑩</w:t>
      </w:r>
      <w:r w:rsidR="0072233D" w:rsidRPr="007975F7">
        <w:rPr>
          <w:rFonts w:hint="eastAsia"/>
          <w:sz w:val="22"/>
          <w:szCs w:val="22"/>
        </w:rPr>
        <w:t xml:space="preserve">　海外ＣＰ</w:t>
      </w:r>
      <w:r w:rsidR="0072233D" w:rsidRPr="007975F7">
        <w:rPr>
          <w:rFonts w:hAnsi="ＭＳ 明朝" w:hint="eastAsia"/>
        </w:rPr>
        <w:t>（金商法第２条第１項第</w:t>
      </w:r>
      <w:r w:rsidR="0072233D" w:rsidRPr="007975F7">
        <w:rPr>
          <w:rFonts w:hAnsi="ＭＳ 明朝"/>
        </w:rPr>
        <w:t>17</w:t>
      </w:r>
      <w:r w:rsidR="0072233D" w:rsidRPr="007975F7">
        <w:rPr>
          <w:rFonts w:hAnsi="ＭＳ 明朝" w:hint="eastAsia"/>
        </w:rPr>
        <w:t>号に掲げる証券又は証書で同項第</w:t>
      </w:r>
      <w:r w:rsidR="0072233D" w:rsidRPr="007975F7">
        <w:rPr>
          <w:rFonts w:hAnsi="ＭＳ 明朝"/>
        </w:rPr>
        <w:t>15</w:t>
      </w:r>
      <w:r w:rsidR="0072233D" w:rsidRPr="007975F7">
        <w:rPr>
          <w:rFonts w:hAnsi="ＭＳ 明朝" w:hint="eastAsia"/>
        </w:rPr>
        <w:t xml:space="preserve">号に掲げ　</w:t>
      </w:r>
    </w:p>
    <w:p w:rsidR="0072233D" w:rsidRPr="007975F7" w:rsidRDefault="0072233D" w:rsidP="0072233D">
      <w:pPr>
        <w:pStyle w:val="a5"/>
        <w:ind w:leftChars="100" w:left="210" w:firstLineChars="100" w:firstLine="210"/>
        <w:rPr>
          <w:rFonts w:cs="Times New Roman"/>
          <w:sz w:val="22"/>
          <w:szCs w:val="22"/>
        </w:rPr>
      </w:pPr>
      <w:r w:rsidRPr="007975F7">
        <w:rPr>
          <w:rFonts w:hAnsi="ＭＳ 明朝" w:hint="eastAsia"/>
        </w:rPr>
        <w:t>る約束手形の性質を有するもののうち、外国で発行されたものをいう。）</w:t>
      </w:r>
    </w:p>
    <w:p w:rsidR="0072233D" w:rsidRPr="007975F7" w:rsidRDefault="00944C5B">
      <w:pPr>
        <w:pStyle w:val="a5"/>
        <w:ind w:left="210"/>
        <w:rPr>
          <w:rFonts w:cs="Times New Roman"/>
          <w:sz w:val="22"/>
          <w:szCs w:val="22"/>
        </w:rPr>
      </w:pPr>
      <w:r w:rsidRPr="007975F7">
        <w:rPr>
          <w:rFonts w:hint="eastAsia"/>
          <w:sz w:val="22"/>
          <w:szCs w:val="22"/>
        </w:rPr>
        <w:t>⑪</w:t>
      </w:r>
      <w:r w:rsidR="0072233D" w:rsidRPr="007975F7">
        <w:rPr>
          <w:rFonts w:hint="eastAsia"/>
          <w:sz w:val="22"/>
          <w:szCs w:val="22"/>
        </w:rPr>
        <w:t xml:space="preserve">　外国貸付債権信託受益証券</w:t>
      </w:r>
      <w:r w:rsidR="0072233D" w:rsidRPr="007975F7">
        <w:rPr>
          <w:rFonts w:hAnsi="ＭＳ 明朝" w:hint="eastAsia"/>
        </w:rPr>
        <w:t>（金商法第２条第１項第</w:t>
      </w:r>
      <w:r w:rsidR="0072233D" w:rsidRPr="007975F7">
        <w:rPr>
          <w:rFonts w:hAnsi="ＭＳ 明朝"/>
        </w:rPr>
        <w:t>18</w:t>
      </w:r>
      <w:r w:rsidR="0072233D" w:rsidRPr="007975F7">
        <w:rPr>
          <w:rFonts w:hAnsi="ＭＳ 明朝" w:hint="eastAsia"/>
        </w:rPr>
        <w:t>号に掲げる証券又は証書をいう。）</w:t>
      </w:r>
    </w:p>
    <w:p w:rsidR="0072233D" w:rsidRPr="007975F7" w:rsidRDefault="0072233D">
      <w:pPr>
        <w:pStyle w:val="a5"/>
        <w:ind w:left="210" w:hanging="210"/>
        <w:rPr>
          <w:rFonts w:cs="Times New Roman"/>
          <w:sz w:val="22"/>
          <w:szCs w:val="22"/>
        </w:rPr>
      </w:pPr>
      <w:r w:rsidRPr="007975F7">
        <w:rPr>
          <w:rFonts w:hint="eastAsia"/>
          <w:sz w:val="22"/>
          <w:szCs w:val="22"/>
        </w:rPr>
        <w:t>２　取引対象債券等については、その権利関係に留意するとともに、当該銘柄の流動性、価格動向等についても十分配慮する。また、外国通貨で表示された債券等にあっては、為替の変動についても十分留意する。</w:t>
      </w:r>
    </w:p>
    <w:p w:rsidR="0072233D" w:rsidRPr="007975F7" w:rsidRDefault="0072233D">
      <w:pPr>
        <w:pStyle w:val="a5"/>
        <w:rPr>
          <w:rFonts w:cs="Times New Roman"/>
          <w:sz w:val="22"/>
          <w:szCs w:val="22"/>
        </w:rPr>
      </w:pPr>
      <w:r w:rsidRPr="007975F7">
        <w:rPr>
          <w:rFonts w:hint="eastAsia"/>
          <w:sz w:val="22"/>
          <w:szCs w:val="22"/>
        </w:rPr>
        <w:t>３　他人名義登録債券は、原則として取り扱わない。</w:t>
      </w:r>
    </w:p>
    <w:p w:rsidR="0072233D" w:rsidRPr="007975F7" w:rsidRDefault="0072233D">
      <w:pPr>
        <w:pStyle w:val="a5"/>
        <w:rPr>
          <w:rFonts w:cs="Times New Roman"/>
          <w:sz w:val="22"/>
          <w:szCs w:val="22"/>
        </w:rPr>
      </w:pPr>
    </w:p>
    <w:p w:rsidR="0072233D" w:rsidRPr="007975F7" w:rsidRDefault="0072233D">
      <w:pPr>
        <w:pStyle w:val="a5"/>
        <w:rPr>
          <w:rFonts w:cs="Times New Roman"/>
          <w:sz w:val="22"/>
          <w:szCs w:val="22"/>
        </w:rPr>
      </w:pPr>
      <w:r w:rsidRPr="007975F7">
        <w:rPr>
          <w:rFonts w:hint="eastAsia"/>
          <w:sz w:val="22"/>
          <w:szCs w:val="22"/>
        </w:rPr>
        <w:t>（売買単価又は売買金額）</w:t>
      </w:r>
    </w:p>
    <w:p w:rsidR="0072233D" w:rsidRDefault="0072233D">
      <w:pPr>
        <w:pStyle w:val="a5"/>
        <w:ind w:left="210" w:hanging="210"/>
        <w:rPr>
          <w:rFonts w:cs="Times New Roman"/>
          <w:sz w:val="22"/>
          <w:szCs w:val="22"/>
        </w:rPr>
      </w:pPr>
      <w:r>
        <w:rPr>
          <w:rFonts w:hint="eastAsia"/>
          <w:sz w:val="22"/>
          <w:szCs w:val="22"/>
        </w:rPr>
        <w:t>第</w:t>
      </w:r>
      <w:r>
        <w:rPr>
          <w:sz w:val="22"/>
          <w:szCs w:val="22"/>
        </w:rPr>
        <w:t xml:space="preserve"> </w:t>
      </w:r>
      <w:r>
        <w:rPr>
          <w:rFonts w:hint="eastAsia"/>
          <w:sz w:val="22"/>
          <w:szCs w:val="22"/>
        </w:rPr>
        <w:t>７</w:t>
      </w:r>
      <w:r>
        <w:rPr>
          <w:sz w:val="22"/>
          <w:szCs w:val="22"/>
        </w:rPr>
        <w:t xml:space="preserve"> </w:t>
      </w:r>
      <w:r>
        <w:rPr>
          <w:rFonts w:hint="eastAsia"/>
          <w:sz w:val="22"/>
          <w:szCs w:val="22"/>
        </w:rPr>
        <w:t>条　当社が顧客との間で債券等の現先取引を行う場合のその売付時又は買付時の売買単価については、日本証券業協会の</w:t>
      </w:r>
      <w:r w:rsidRPr="007975F7">
        <w:rPr>
          <w:rFonts w:hint="eastAsia"/>
          <w:sz w:val="22"/>
          <w:szCs w:val="22"/>
        </w:rPr>
        <w:t>「公社債の店頭売買参考値等の発表及び売買値段に関する規則」及び「外国証券の取引に関する規則」</w:t>
      </w:r>
      <w:r>
        <w:rPr>
          <w:rFonts w:hint="eastAsia"/>
          <w:sz w:val="22"/>
          <w:szCs w:val="22"/>
        </w:rPr>
        <w:t>に基づき、これを決定するものとする。</w:t>
      </w:r>
    </w:p>
    <w:p w:rsidR="0072233D" w:rsidRDefault="0072233D">
      <w:pPr>
        <w:pStyle w:val="a5"/>
        <w:ind w:left="210" w:hanging="210"/>
        <w:rPr>
          <w:rFonts w:cs="Times New Roman"/>
          <w:sz w:val="22"/>
          <w:szCs w:val="22"/>
        </w:rPr>
      </w:pPr>
      <w:r>
        <w:rPr>
          <w:rFonts w:hint="eastAsia"/>
          <w:sz w:val="22"/>
          <w:szCs w:val="22"/>
        </w:rPr>
        <w:t>２　国内ＣＰ、海外ＣＤ、海外ＣＰ及び外国貸付債権信託受益証券の売買金額は、金利水準、金融情勢等の動向を参酌した適正なものとする。</w:t>
      </w:r>
    </w:p>
    <w:p w:rsidR="0072233D" w:rsidRDefault="0072233D">
      <w:pPr>
        <w:ind w:left="210" w:hangingChars="100" w:hanging="210"/>
        <w:rPr>
          <w:rFonts w:cs="Times New Roman"/>
        </w:rPr>
      </w:pPr>
      <w:r>
        <w:rPr>
          <w:rFonts w:cs="ＭＳ 明朝" w:hint="eastAsia"/>
        </w:rPr>
        <w:t xml:space="preserve">３　</w:t>
      </w:r>
      <w:r w:rsidRPr="007975F7">
        <w:rPr>
          <w:rFonts w:cs="ＭＳ 明朝" w:hint="eastAsia"/>
        </w:rPr>
        <w:t>前２項</w:t>
      </w:r>
      <w:r>
        <w:rPr>
          <w:rFonts w:cs="ＭＳ 明朝" w:hint="eastAsia"/>
        </w:rPr>
        <w:t>において、スタート売買単価又はスタート売買金額の算出に当たり、売買金額算出比率を適用する場合には、当該比率について、取引対象債券等の価格変動リスク、取引相手方の信用リスク等を考慮した合理的な値を用いることとする。</w:t>
      </w:r>
    </w:p>
    <w:p w:rsidR="0072233D" w:rsidRDefault="0072233D">
      <w:pPr>
        <w:pStyle w:val="a5"/>
        <w:rPr>
          <w:rFonts w:cs="Times New Roman"/>
          <w:sz w:val="22"/>
          <w:szCs w:val="22"/>
        </w:rPr>
      </w:pPr>
    </w:p>
    <w:p w:rsidR="0072233D" w:rsidRDefault="0072233D">
      <w:pPr>
        <w:rPr>
          <w:rFonts w:cs="Times New Roman"/>
        </w:rPr>
      </w:pPr>
      <w:r>
        <w:rPr>
          <w:rFonts w:cs="ＭＳ 明朝" w:hint="eastAsia"/>
        </w:rPr>
        <w:t>（担保金の管理等）</w:t>
      </w:r>
    </w:p>
    <w:p w:rsidR="0072233D" w:rsidRDefault="0072233D">
      <w:pPr>
        <w:ind w:left="210" w:hangingChars="100" w:hanging="210"/>
        <w:rPr>
          <w:rFonts w:cs="Times New Roman"/>
        </w:rPr>
      </w:pPr>
      <w:r>
        <w:rPr>
          <w:rFonts w:cs="ＭＳ 明朝" w:hint="eastAsia"/>
        </w:rPr>
        <w:t>第　８</w:t>
      </w:r>
      <w:r>
        <w:rPr>
          <w:rFonts w:cs="ＭＳ 明朝" w:hint="eastAsia"/>
          <w:color w:val="FF0000"/>
        </w:rPr>
        <w:t xml:space="preserve">　</w:t>
      </w:r>
      <w:r>
        <w:rPr>
          <w:rFonts w:cs="ＭＳ 明朝" w:hint="eastAsia"/>
        </w:rPr>
        <w:t>条　当社が顧客に対して純与信額を有する場合は、取引期間中いつでも顧客に対し、通知により少なくとも純与信額と同額の担保金を差し入れるよう要求することができるものとする。</w:t>
      </w:r>
    </w:p>
    <w:p w:rsidR="0072233D" w:rsidRDefault="0072233D">
      <w:pPr>
        <w:ind w:left="210" w:hangingChars="100" w:hanging="210"/>
        <w:rPr>
          <w:rFonts w:cs="Times New Roman"/>
        </w:rPr>
      </w:pPr>
      <w:r>
        <w:rPr>
          <w:rFonts w:cs="ＭＳ 明朝" w:hint="eastAsia"/>
        </w:rPr>
        <w:t>２　顧客から現金で受け入れた担保金に対しては付利できるものとする。</w:t>
      </w:r>
    </w:p>
    <w:p w:rsidR="0072233D" w:rsidRDefault="0072233D">
      <w:pPr>
        <w:pStyle w:val="a5"/>
        <w:rPr>
          <w:rFonts w:cs="Times New Roman"/>
          <w:sz w:val="22"/>
          <w:szCs w:val="22"/>
        </w:rPr>
      </w:pPr>
    </w:p>
    <w:p w:rsidR="0072233D" w:rsidRDefault="0072233D">
      <w:pPr>
        <w:rPr>
          <w:rFonts w:cs="Times New Roman"/>
        </w:rPr>
      </w:pPr>
      <w:r>
        <w:rPr>
          <w:rFonts w:cs="ＭＳ 明朝" w:hint="eastAsia"/>
        </w:rPr>
        <w:t>（担保証券の管理等）</w:t>
      </w:r>
    </w:p>
    <w:p w:rsidR="0072233D" w:rsidRDefault="0072233D">
      <w:pPr>
        <w:tabs>
          <w:tab w:val="left" w:pos="840"/>
        </w:tabs>
        <w:ind w:left="210" w:hangingChars="100" w:hanging="210"/>
        <w:rPr>
          <w:rFonts w:cs="Times New Roman"/>
        </w:rPr>
      </w:pPr>
      <w:r>
        <w:rPr>
          <w:rFonts w:cs="ＭＳ 明朝" w:hint="eastAsia"/>
        </w:rPr>
        <w:t>第　９　条　前条に規定する担保金は、当社の定める有価証券等（以下「担保証券」という。）をもって代用することができるものとする。</w:t>
      </w:r>
    </w:p>
    <w:p w:rsidR="0072233D" w:rsidRDefault="0072233D">
      <w:pPr>
        <w:ind w:left="210" w:hangingChars="100" w:hanging="210"/>
        <w:rPr>
          <w:rFonts w:cs="Times New Roman"/>
        </w:rPr>
      </w:pPr>
      <w:r>
        <w:rPr>
          <w:rFonts w:cs="ＭＳ 明朝" w:hint="eastAsia"/>
        </w:rPr>
        <w:t>２　担保証券の種類及び時価総額は、顧客との合意のもとに決定するものとする。</w:t>
      </w:r>
    </w:p>
    <w:p w:rsidR="0072233D" w:rsidRDefault="0072233D">
      <w:pPr>
        <w:ind w:left="210" w:hangingChars="100" w:hanging="210"/>
        <w:rPr>
          <w:rFonts w:cs="Times New Roman"/>
        </w:rPr>
      </w:pPr>
      <w:r>
        <w:rPr>
          <w:rFonts w:cs="ＭＳ 明朝" w:hint="eastAsia"/>
        </w:rPr>
        <w:t>３　担保証券の受入れは、その担保金としての実効性に十分に留意するとともに、証憑書類等の整備、保管を行うものとする。</w:t>
      </w:r>
    </w:p>
    <w:p w:rsidR="0072233D" w:rsidRDefault="0072233D">
      <w:pPr>
        <w:pStyle w:val="a5"/>
        <w:rPr>
          <w:rFonts w:cs="Times New Roman"/>
          <w:sz w:val="22"/>
          <w:szCs w:val="22"/>
        </w:rPr>
      </w:pPr>
    </w:p>
    <w:p w:rsidR="0072233D" w:rsidRDefault="0072233D">
      <w:pPr>
        <w:rPr>
          <w:rFonts w:cs="Times New Roman"/>
        </w:rPr>
      </w:pPr>
      <w:r>
        <w:rPr>
          <w:rFonts w:cs="ＭＳ 明朝" w:hint="eastAsia"/>
        </w:rPr>
        <w:t>（売買金額算出比率の適用）</w:t>
      </w:r>
    </w:p>
    <w:p w:rsidR="0072233D" w:rsidRDefault="0072233D">
      <w:pPr>
        <w:tabs>
          <w:tab w:val="left" w:pos="840"/>
        </w:tabs>
        <w:ind w:left="210" w:hangingChars="100" w:hanging="210"/>
        <w:rPr>
          <w:rFonts w:cs="Times New Roman"/>
        </w:rPr>
      </w:pPr>
      <w:r>
        <w:rPr>
          <w:rFonts w:cs="ＭＳ 明朝" w:hint="eastAsia"/>
        </w:rPr>
        <w:t xml:space="preserve">第　</w:t>
      </w:r>
      <w:r>
        <w:t>10</w:t>
      </w:r>
      <w:r>
        <w:rPr>
          <w:rFonts w:cs="ＭＳ 明朝" w:hint="eastAsia"/>
        </w:rPr>
        <w:t xml:space="preserve">　条　当社は、個別現先取引において、スタート売買単価を算出するに当たり、顧客</w:t>
      </w:r>
      <w:r>
        <w:rPr>
          <w:rFonts w:cs="ＭＳ 明朝" w:hint="eastAsia"/>
        </w:rPr>
        <w:lastRenderedPageBreak/>
        <w:t>との間の合意により、売買金額算出比率を用いることができるものとする。</w:t>
      </w:r>
    </w:p>
    <w:p w:rsidR="0072233D" w:rsidRDefault="0072233D">
      <w:pPr>
        <w:ind w:left="210" w:hangingChars="100" w:hanging="210"/>
        <w:rPr>
          <w:rFonts w:cs="ＭＳ 明朝"/>
        </w:rPr>
      </w:pPr>
      <w:r>
        <w:rPr>
          <w:rFonts w:cs="ＭＳ 明朝" w:hint="eastAsia"/>
        </w:rPr>
        <w:t>２　前項に規定する売買金額算出比率については、個別現先取引が終了するまでの間は変更することができないものとする。</w:t>
      </w:r>
    </w:p>
    <w:p w:rsidR="0072233D" w:rsidRDefault="0072233D">
      <w:pPr>
        <w:ind w:left="210" w:hangingChars="100" w:hanging="210"/>
        <w:rPr>
          <w:rFonts w:cs="Times New Roman"/>
        </w:rPr>
      </w:pPr>
      <w:r w:rsidRPr="007975F7">
        <w:rPr>
          <w:rFonts w:cs="ＭＳ 明朝" w:hint="eastAsia"/>
        </w:rPr>
        <w:t>３</w:t>
      </w:r>
      <w:r w:rsidR="007975F7">
        <w:rPr>
          <w:rFonts w:cs="ＭＳ 明朝" w:hint="eastAsia"/>
        </w:rPr>
        <w:t xml:space="preserve">　</w:t>
      </w:r>
      <w:r>
        <w:rPr>
          <w:rFonts w:cs="ＭＳ 明朝" w:hint="eastAsia"/>
        </w:rPr>
        <w:t>取引対象債券等の差替えに当たって、当初の取引対象債券等と差替え後の取引対象債券等にそれぞれ異なる売買金額算出比率を適用することはこれを妨げない。</w:t>
      </w:r>
    </w:p>
    <w:p w:rsidR="0072233D" w:rsidRDefault="0072233D">
      <w:pPr>
        <w:rPr>
          <w:rFonts w:cs="Times New Roman"/>
        </w:rPr>
      </w:pPr>
    </w:p>
    <w:p w:rsidR="0072233D" w:rsidRDefault="0072233D">
      <w:pPr>
        <w:rPr>
          <w:rFonts w:cs="Times New Roman"/>
        </w:rPr>
      </w:pPr>
      <w:r>
        <w:rPr>
          <w:rFonts w:cs="ＭＳ 明朝" w:hint="eastAsia"/>
        </w:rPr>
        <w:t>（再評価取引の適用）</w:t>
      </w:r>
    </w:p>
    <w:p w:rsidR="0072233D" w:rsidRDefault="0072233D">
      <w:pPr>
        <w:ind w:left="210" w:hangingChars="100" w:hanging="210"/>
        <w:rPr>
          <w:rFonts w:cs="Times New Roman"/>
        </w:rPr>
      </w:pPr>
      <w:r>
        <w:rPr>
          <w:rFonts w:cs="ＭＳ 明朝" w:hint="eastAsia"/>
        </w:rPr>
        <w:t xml:space="preserve">第　</w:t>
      </w:r>
      <w:r>
        <w:t>11</w:t>
      </w:r>
      <w:r>
        <w:rPr>
          <w:rFonts w:cs="ＭＳ 明朝" w:hint="eastAsia"/>
        </w:rPr>
        <w:t xml:space="preserve">　条　当社は、個別現先取引において、顧客との間の合意により、再評価取引を行うことにより、純与信額を解消することができるものとする。</w:t>
      </w:r>
    </w:p>
    <w:p w:rsidR="0072233D" w:rsidRDefault="0072233D">
      <w:pPr>
        <w:rPr>
          <w:rFonts w:cs="Times New Roman"/>
        </w:rPr>
      </w:pPr>
    </w:p>
    <w:p w:rsidR="0072233D" w:rsidRDefault="0072233D">
      <w:pPr>
        <w:rPr>
          <w:rFonts w:cs="Times New Roman"/>
        </w:rPr>
      </w:pPr>
      <w:r>
        <w:rPr>
          <w:rFonts w:cs="ＭＳ 明朝" w:hint="eastAsia"/>
        </w:rPr>
        <w:t>（取引対象債券等の差替えの適用）</w:t>
      </w:r>
    </w:p>
    <w:p w:rsidR="0072233D" w:rsidRDefault="0072233D">
      <w:pPr>
        <w:tabs>
          <w:tab w:val="left" w:pos="840"/>
          <w:tab w:val="left" w:pos="1260"/>
        </w:tabs>
        <w:ind w:left="210" w:hangingChars="100" w:hanging="210"/>
        <w:rPr>
          <w:rFonts w:cs="Times New Roman"/>
        </w:rPr>
      </w:pPr>
      <w:r>
        <w:rPr>
          <w:rFonts w:cs="ＭＳ 明朝" w:hint="eastAsia"/>
        </w:rPr>
        <w:t xml:space="preserve">第　</w:t>
      </w:r>
      <w:r>
        <w:t>12</w:t>
      </w:r>
      <w:r>
        <w:rPr>
          <w:rFonts w:cs="ＭＳ 明朝" w:hint="eastAsia"/>
        </w:rPr>
        <w:t xml:space="preserve">　条　当社は、個別現先取引において、顧客との間の合意により、取引対象債券等の差替えを行うことができるものとする。</w:t>
      </w:r>
    </w:p>
    <w:p w:rsidR="0072233D" w:rsidRDefault="0072233D">
      <w:pPr>
        <w:pStyle w:val="a5"/>
        <w:rPr>
          <w:rFonts w:cs="Times New Roman"/>
          <w:sz w:val="22"/>
          <w:szCs w:val="22"/>
        </w:rPr>
      </w:pPr>
    </w:p>
    <w:p w:rsidR="0072233D" w:rsidRDefault="0072233D">
      <w:pPr>
        <w:pStyle w:val="a5"/>
        <w:rPr>
          <w:rFonts w:cs="Times New Roman"/>
          <w:sz w:val="22"/>
          <w:szCs w:val="22"/>
        </w:rPr>
      </w:pPr>
      <w:r>
        <w:rPr>
          <w:rFonts w:hint="eastAsia"/>
          <w:sz w:val="22"/>
          <w:szCs w:val="22"/>
        </w:rPr>
        <w:t>（期間の対応等）</w:t>
      </w:r>
    </w:p>
    <w:p w:rsidR="0072233D" w:rsidRDefault="0072233D">
      <w:pPr>
        <w:pStyle w:val="a5"/>
        <w:ind w:left="210" w:hanging="210"/>
        <w:rPr>
          <w:rFonts w:cs="Times New Roman"/>
          <w:sz w:val="22"/>
          <w:szCs w:val="22"/>
        </w:rPr>
      </w:pPr>
      <w:r>
        <w:rPr>
          <w:rFonts w:hint="eastAsia"/>
          <w:sz w:val="22"/>
          <w:szCs w:val="22"/>
        </w:rPr>
        <w:t xml:space="preserve">第　</w:t>
      </w:r>
      <w:r>
        <w:rPr>
          <w:sz w:val="22"/>
          <w:szCs w:val="22"/>
        </w:rPr>
        <w:t xml:space="preserve">13  </w:t>
      </w:r>
      <w:r>
        <w:rPr>
          <w:rFonts w:hint="eastAsia"/>
          <w:sz w:val="22"/>
          <w:szCs w:val="22"/>
        </w:rPr>
        <w:t>条　債券等の委託現先取引においては、スタート取引に係る売付日と買付日及びエンド取引に係る買戻日と売戻日がそれぞれ同一となるよう、期間の対応を原則とする。</w:t>
      </w:r>
    </w:p>
    <w:p w:rsidR="0072233D" w:rsidRDefault="0072233D">
      <w:pPr>
        <w:pStyle w:val="a5"/>
        <w:ind w:left="210" w:hanging="210"/>
        <w:rPr>
          <w:rFonts w:cs="Times New Roman"/>
          <w:sz w:val="22"/>
          <w:szCs w:val="22"/>
        </w:rPr>
      </w:pPr>
    </w:p>
    <w:p w:rsidR="0072233D" w:rsidRDefault="0072233D">
      <w:pPr>
        <w:pStyle w:val="a5"/>
        <w:rPr>
          <w:rFonts w:cs="Times New Roman"/>
          <w:sz w:val="22"/>
          <w:szCs w:val="22"/>
        </w:rPr>
      </w:pPr>
      <w:r>
        <w:rPr>
          <w:rFonts w:hint="eastAsia"/>
          <w:sz w:val="22"/>
          <w:szCs w:val="22"/>
        </w:rPr>
        <w:t>（節度ある利用）</w:t>
      </w:r>
    </w:p>
    <w:p w:rsidR="0072233D" w:rsidRDefault="0072233D">
      <w:pPr>
        <w:pStyle w:val="a5"/>
        <w:ind w:left="210" w:hanging="210"/>
        <w:rPr>
          <w:rFonts w:cs="Times New Roman"/>
          <w:sz w:val="22"/>
          <w:szCs w:val="22"/>
        </w:rPr>
      </w:pPr>
      <w:r>
        <w:rPr>
          <w:rFonts w:hint="eastAsia"/>
          <w:sz w:val="22"/>
          <w:szCs w:val="22"/>
        </w:rPr>
        <w:t xml:space="preserve">第　</w:t>
      </w:r>
      <w:r>
        <w:rPr>
          <w:sz w:val="22"/>
          <w:szCs w:val="22"/>
        </w:rPr>
        <w:t>14</w:t>
      </w:r>
      <w:r>
        <w:rPr>
          <w:rFonts w:hint="eastAsia"/>
          <w:sz w:val="22"/>
          <w:szCs w:val="22"/>
        </w:rPr>
        <w:t xml:space="preserve">　条　債券等の現先取引の残高については、当社の資産状況に照らし、過大なものにならないよう留意する。</w:t>
      </w:r>
    </w:p>
    <w:p w:rsidR="0072233D" w:rsidRDefault="0072233D">
      <w:pPr>
        <w:pStyle w:val="a5"/>
        <w:rPr>
          <w:rFonts w:cs="Times New Roman"/>
          <w:sz w:val="22"/>
          <w:szCs w:val="22"/>
        </w:rPr>
      </w:pPr>
      <w:r>
        <w:rPr>
          <w:rFonts w:hint="eastAsia"/>
          <w:sz w:val="22"/>
          <w:szCs w:val="22"/>
        </w:rPr>
        <w:t>２　債券等の委託現先取引については、一取引先に過度に集中しないよう留意する。</w:t>
      </w:r>
    </w:p>
    <w:p w:rsidR="0072233D" w:rsidRDefault="0072233D">
      <w:pPr>
        <w:pStyle w:val="a5"/>
        <w:rPr>
          <w:rFonts w:cs="Times New Roman"/>
          <w:sz w:val="22"/>
          <w:szCs w:val="22"/>
        </w:rPr>
      </w:pPr>
    </w:p>
    <w:p w:rsidR="0072233D" w:rsidRDefault="0072233D">
      <w:pPr>
        <w:pStyle w:val="a5"/>
        <w:rPr>
          <w:rFonts w:cs="Times New Roman"/>
          <w:sz w:val="22"/>
          <w:szCs w:val="22"/>
        </w:rPr>
      </w:pPr>
    </w:p>
    <w:p w:rsidR="0072233D" w:rsidRDefault="0072233D">
      <w:pPr>
        <w:pStyle w:val="a5"/>
        <w:jc w:val="center"/>
        <w:rPr>
          <w:rFonts w:cs="Times New Roman"/>
          <w:sz w:val="22"/>
          <w:szCs w:val="22"/>
        </w:rPr>
      </w:pPr>
      <w:r>
        <w:rPr>
          <w:rFonts w:hint="eastAsia"/>
          <w:sz w:val="22"/>
          <w:szCs w:val="22"/>
        </w:rPr>
        <w:t>付　　　　　　則</w:t>
      </w:r>
    </w:p>
    <w:p w:rsidR="0072233D" w:rsidRDefault="0072233D">
      <w:pPr>
        <w:pStyle w:val="a5"/>
        <w:rPr>
          <w:rFonts w:cs="Times New Roman"/>
          <w:sz w:val="22"/>
          <w:szCs w:val="22"/>
        </w:rPr>
      </w:pPr>
    </w:p>
    <w:p w:rsidR="0072233D" w:rsidRPr="00D11BE0" w:rsidRDefault="0072233D">
      <w:pPr>
        <w:pStyle w:val="a5"/>
        <w:jc w:val="center"/>
        <w:rPr>
          <w:rFonts w:cs="Times New Roman"/>
          <w:sz w:val="22"/>
          <w:szCs w:val="22"/>
        </w:rPr>
      </w:pPr>
      <w:r>
        <w:rPr>
          <w:rFonts w:hint="eastAsia"/>
          <w:sz w:val="22"/>
          <w:szCs w:val="22"/>
        </w:rPr>
        <w:t>この規程は、</w:t>
      </w:r>
      <w:r w:rsidR="00D11BE0" w:rsidRPr="0084676B">
        <w:rPr>
          <w:rFonts w:hint="eastAsia"/>
          <w:sz w:val="22"/>
          <w:szCs w:val="22"/>
        </w:rPr>
        <w:t>国債の決済期間の短縮（</w:t>
      </w:r>
      <w:r w:rsidR="00C47614">
        <w:rPr>
          <w:rFonts w:hint="eastAsia"/>
          <w:sz w:val="22"/>
          <w:szCs w:val="22"/>
        </w:rPr>
        <w:t>Ｔ</w:t>
      </w:r>
      <w:r w:rsidR="00D11BE0" w:rsidRPr="0084676B">
        <w:rPr>
          <w:rFonts w:hint="eastAsia"/>
          <w:sz w:val="22"/>
          <w:szCs w:val="22"/>
        </w:rPr>
        <w:t>＋１）化の実施日</w:t>
      </w:r>
      <w:r>
        <w:rPr>
          <w:rFonts w:hint="eastAsia"/>
          <w:sz w:val="22"/>
          <w:szCs w:val="22"/>
        </w:rPr>
        <w:t>から施行する。</w:t>
      </w:r>
    </w:p>
    <w:p w:rsidR="0072233D" w:rsidRDefault="0072233D">
      <w:pPr>
        <w:pStyle w:val="a5"/>
        <w:rPr>
          <w:rFonts w:cs="Times New Roman"/>
          <w:sz w:val="22"/>
          <w:szCs w:val="22"/>
        </w:rPr>
      </w:pPr>
    </w:p>
    <w:p w:rsidR="0072233D" w:rsidRPr="0072233D" w:rsidRDefault="0072233D" w:rsidP="007975F7">
      <w:pPr>
        <w:pStyle w:val="a5"/>
        <w:ind w:leftChars="769" w:left="2695" w:hangingChars="300" w:hanging="1080"/>
        <w:rPr>
          <w:rFonts w:cs="Times New Roman"/>
          <w:sz w:val="36"/>
          <w:szCs w:val="36"/>
        </w:rPr>
      </w:pPr>
    </w:p>
    <w:sectPr w:rsidR="0072233D" w:rsidRPr="0072233D">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05" w:rsidRDefault="005C7405">
      <w:r>
        <w:separator/>
      </w:r>
    </w:p>
  </w:endnote>
  <w:endnote w:type="continuationSeparator" w:id="0">
    <w:p w:rsidR="005C7405" w:rsidRDefault="005C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59" w:rsidRDefault="00936E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3D" w:rsidRDefault="0072233D">
    <w:pPr>
      <w:pStyle w:val="a7"/>
      <w:framePr w:wrap="auto" w:vAnchor="text" w:hAnchor="margin" w:xAlign="center" w:y="1"/>
      <w:rPr>
        <w:rStyle w:val="a9"/>
        <w:rFonts w:ascii="ＭＳ 明朝"/>
      </w:rPr>
    </w:pPr>
    <w:r>
      <w:rPr>
        <w:rStyle w:val="a9"/>
        <w:rFonts w:ascii="ＭＳ 明朝" w:cs="ＭＳ 明朝"/>
      </w:rPr>
      <w:fldChar w:fldCharType="begin"/>
    </w:r>
    <w:r>
      <w:rPr>
        <w:rStyle w:val="a9"/>
        <w:rFonts w:ascii="ＭＳ 明朝" w:cs="ＭＳ 明朝"/>
      </w:rPr>
      <w:instrText xml:space="preserve">PAGE  </w:instrText>
    </w:r>
    <w:r>
      <w:rPr>
        <w:rStyle w:val="a9"/>
        <w:rFonts w:ascii="ＭＳ 明朝" w:cs="ＭＳ 明朝"/>
      </w:rPr>
      <w:fldChar w:fldCharType="separate"/>
    </w:r>
    <w:r w:rsidR="00E2744B">
      <w:rPr>
        <w:rStyle w:val="a9"/>
        <w:rFonts w:ascii="ＭＳ 明朝" w:cs="ＭＳ 明朝"/>
        <w:noProof/>
      </w:rPr>
      <w:t>5</w:t>
    </w:r>
    <w:r>
      <w:rPr>
        <w:rStyle w:val="a9"/>
        <w:rFonts w:ascii="ＭＳ 明朝" w:cs="ＭＳ 明朝"/>
      </w:rPr>
      <w:fldChar w:fldCharType="end"/>
    </w:r>
  </w:p>
  <w:p w:rsidR="0072233D" w:rsidRDefault="00AA45C2" w:rsidP="00AA45C2">
    <w:pPr>
      <w:pStyle w:val="a7"/>
      <w:ind w:left="540" w:hangingChars="300" w:hanging="540"/>
      <w:jc w:val="right"/>
      <w:rPr>
        <w:rFonts w:cs="Times New Roman"/>
        <w:sz w:val="18"/>
        <w:szCs w:val="18"/>
      </w:rPr>
    </w:pPr>
    <w:r>
      <w:rPr>
        <w:rFonts w:cs="ＭＳ 明朝" w:hint="eastAsia"/>
        <w:sz w:val="18"/>
        <w:szCs w:val="18"/>
      </w:rPr>
      <w:t xml:space="preserve">　　　　　　　　　　　　　　　　　　　　　　　　　　　　　　　　　　　　　　　　　　　　　　　</w:t>
    </w:r>
    <w:r w:rsidR="0072233D">
      <w:rPr>
        <w:rFonts w:cs="ＭＳ 明朝" w:hint="eastAsia"/>
        <w:sz w:val="18"/>
        <w:szCs w:val="18"/>
      </w:rPr>
      <w:t>債券条件付売買取扱規程</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59" w:rsidRDefault="00936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05" w:rsidRDefault="005C7405">
      <w:r>
        <w:separator/>
      </w:r>
    </w:p>
  </w:footnote>
  <w:footnote w:type="continuationSeparator" w:id="0">
    <w:p w:rsidR="005C7405" w:rsidRDefault="005C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59" w:rsidRDefault="00936E5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3D" w:rsidRDefault="0072233D">
    <w:pPr>
      <w:pStyle w:val="a5"/>
      <w:jc w:val="right"/>
      <w:rPr>
        <w:rFonts w:cs="Times New Roman"/>
        <w:sz w:val="22"/>
        <w:szCs w:val="22"/>
      </w:rPr>
    </w:pPr>
  </w:p>
  <w:p w:rsidR="0072233D" w:rsidRDefault="0072233D">
    <w:pPr>
      <w:pStyle w:val="a5"/>
      <w:jc w:val="right"/>
      <w:rPr>
        <w:rFonts w:cs="Times New Roman"/>
        <w:sz w:val="22"/>
        <w:szCs w:val="22"/>
      </w:rPr>
    </w:pPr>
  </w:p>
  <w:p w:rsidR="0072233D" w:rsidRDefault="0072233D">
    <w:pPr>
      <w:pStyle w:val="a5"/>
      <w:jc w:val="right"/>
      <w:rPr>
        <w:rFonts w:cs="Times New Roman"/>
        <w:sz w:val="22"/>
        <w:szCs w:val="22"/>
      </w:rPr>
    </w:pPr>
    <w:r>
      <w:rPr>
        <w:rFonts w:hint="eastAsia"/>
        <w:sz w:val="22"/>
        <w:szCs w:val="22"/>
      </w:rPr>
      <w:t>【社内規程モデル】</w:t>
    </w:r>
  </w:p>
  <w:p w:rsidR="0072233D" w:rsidRDefault="0072233D">
    <w:pPr>
      <w:pStyle w:val="aa"/>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59" w:rsidRDefault="00936E5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C4852"/>
    <w:multiLevelType w:val="hybridMultilevel"/>
    <w:tmpl w:val="4A24B5E8"/>
    <w:lvl w:ilvl="0" w:tplc="5F1AF4DC">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8B"/>
    <w:rsid w:val="00012356"/>
    <w:rsid w:val="000153C5"/>
    <w:rsid w:val="0007305C"/>
    <w:rsid w:val="000A612B"/>
    <w:rsid w:val="000A7244"/>
    <w:rsid w:val="000B214D"/>
    <w:rsid w:val="000D0BE1"/>
    <w:rsid w:val="000D2583"/>
    <w:rsid w:val="000E7D29"/>
    <w:rsid w:val="00122F16"/>
    <w:rsid w:val="001502BF"/>
    <w:rsid w:val="0015510A"/>
    <w:rsid w:val="00166C77"/>
    <w:rsid w:val="0019488B"/>
    <w:rsid w:val="001C6A72"/>
    <w:rsid w:val="001D5A2B"/>
    <w:rsid w:val="001E5987"/>
    <w:rsid w:val="00216F73"/>
    <w:rsid w:val="00270A3F"/>
    <w:rsid w:val="00275717"/>
    <w:rsid w:val="00283240"/>
    <w:rsid w:val="0028578E"/>
    <w:rsid w:val="002C25FF"/>
    <w:rsid w:val="00317DE1"/>
    <w:rsid w:val="003220FE"/>
    <w:rsid w:val="0036340F"/>
    <w:rsid w:val="00376C54"/>
    <w:rsid w:val="003909EA"/>
    <w:rsid w:val="00417BFE"/>
    <w:rsid w:val="00420E4D"/>
    <w:rsid w:val="004E4D14"/>
    <w:rsid w:val="0051212A"/>
    <w:rsid w:val="00561E2D"/>
    <w:rsid w:val="00571901"/>
    <w:rsid w:val="005C7405"/>
    <w:rsid w:val="005D3633"/>
    <w:rsid w:val="005E615F"/>
    <w:rsid w:val="0064548B"/>
    <w:rsid w:val="00655612"/>
    <w:rsid w:val="00661625"/>
    <w:rsid w:val="00692420"/>
    <w:rsid w:val="006E66EC"/>
    <w:rsid w:val="0072233D"/>
    <w:rsid w:val="00744DE2"/>
    <w:rsid w:val="007975F7"/>
    <w:rsid w:val="007E09D8"/>
    <w:rsid w:val="0084676B"/>
    <w:rsid w:val="0085172B"/>
    <w:rsid w:val="00877A0B"/>
    <w:rsid w:val="008C5635"/>
    <w:rsid w:val="008C7609"/>
    <w:rsid w:val="00921396"/>
    <w:rsid w:val="009235D0"/>
    <w:rsid w:val="00936E59"/>
    <w:rsid w:val="00944C5B"/>
    <w:rsid w:val="00960481"/>
    <w:rsid w:val="00962C03"/>
    <w:rsid w:val="00964444"/>
    <w:rsid w:val="009714DA"/>
    <w:rsid w:val="00996834"/>
    <w:rsid w:val="009A699D"/>
    <w:rsid w:val="009B5991"/>
    <w:rsid w:val="009E75D4"/>
    <w:rsid w:val="00A72557"/>
    <w:rsid w:val="00AA45C2"/>
    <w:rsid w:val="00B10CE5"/>
    <w:rsid w:val="00B35374"/>
    <w:rsid w:val="00B36A62"/>
    <w:rsid w:val="00B737BE"/>
    <w:rsid w:val="00B77CDE"/>
    <w:rsid w:val="00BA1A99"/>
    <w:rsid w:val="00BB3F4C"/>
    <w:rsid w:val="00BD5630"/>
    <w:rsid w:val="00BE34B5"/>
    <w:rsid w:val="00C015C1"/>
    <w:rsid w:val="00C47614"/>
    <w:rsid w:val="00C75CC0"/>
    <w:rsid w:val="00C90C10"/>
    <w:rsid w:val="00CC7A1B"/>
    <w:rsid w:val="00CC7E2C"/>
    <w:rsid w:val="00CE7FBA"/>
    <w:rsid w:val="00D11BE0"/>
    <w:rsid w:val="00D15E1B"/>
    <w:rsid w:val="00D43F5A"/>
    <w:rsid w:val="00D80F58"/>
    <w:rsid w:val="00D82183"/>
    <w:rsid w:val="00DD29A2"/>
    <w:rsid w:val="00DD7B2F"/>
    <w:rsid w:val="00E2744B"/>
    <w:rsid w:val="00E523C0"/>
    <w:rsid w:val="00E8285B"/>
    <w:rsid w:val="00E8402F"/>
    <w:rsid w:val="00EA29BB"/>
    <w:rsid w:val="00F308E0"/>
    <w:rsid w:val="00FF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3088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62C03"/>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Plain Text"/>
    <w:basedOn w:val="a"/>
    <w:link w:val="a6"/>
    <w:uiPriority w:val="99"/>
    <w:rPr>
      <w:rFonts w:ascii="ＭＳ 明朝" w:hAnsi="Courier New" w:cs="ＭＳ 明朝"/>
    </w:rPr>
  </w:style>
  <w:style w:type="character" w:customStyle="1" w:styleId="a6">
    <w:name w:val="書式なし (文字)"/>
    <w:basedOn w:val="a0"/>
    <w:link w:val="a5"/>
    <w:uiPriority w:val="99"/>
    <w:semiHidden/>
    <w:locked/>
    <w:rPr>
      <w:rFonts w:ascii="ＭＳ 明朝" w:hAnsi="Courier New" w:cs="Courier New"/>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Pr>
      <w:rFonts w:cs="Times New Roman"/>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cs="Century"/>
      <w:sz w:val="21"/>
      <w:szCs w:val="21"/>
    </w:rPr>
  </w:style>
  <w:style w:type="paragraph" w:styleId="2">
    <w:name w:val="Body Text 2"/>
    <w:basedOn w:val="a"/>
    <w:link w:val="20"/>
    <w:uiPriority w:val="99"/>
    <w:pPr>
      <w:ind w:left="210" w:hangingChars="100" w:hanging="210"/>
    </w:pPr>
    <w:rPr>
      <w:color w:val="FF0000"/>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ind w:leftChars="100" w:left="420" w:hangingChars="100" w:hanging="210"/>
    </w:pPr>
  </w:style>
  <w:style w:type="character" w:customStyle="1" w:styleId="22">
    <w:name w:val="本文インデント 2 (文字)"/>
    <w:basedOn w:val="a0"/>
    <w:link w:val="21"/>
    <w:uiPriority w:val="99"/>
    <w:semiHidden/>
    <w:locked/>
    <w:rPr>
      <w:rFonts w:cs="Century"/>
      <w:sz w:val="21"/>
      <w:szCs w:val="21"/>
    </w:rPr>
  </w:style>
  <w:style w:type="character" w:styleId="ac">
    <w:name w:val="annotation reference"/>
    <w:basedOn w:val="a0"/>
    <w:uiPriority w:val="99"/>
    <w:semiHidden/>
    <w:unhideWhenUsed/>
    <w:rsid w:val="0064548B"/>
    <w:rPr>
      <w:rFonts w:cs="Times New Roman"/>
      <w:sz w:val="18"/>
      <w:szCs w:val="18"/>
    </w:rPr>
  </w:style>
  <w:style w:type="paragraph" w:styleId="ad">
    <w:name w:val="annotation text"/>
    <w:basedOn w:val="a"/>
    <w:link w:val="ae"/>
    <w:uiPriority w:val="99"/>
    <w:unhideWhenUsed/>
    <w:rsid w:val="0064548B"/>
    <w:pPr>
      <w:jc w:val="left"/>
    </w:pPr>
  </w:style>
  <w:style w:type="character" w:customStyle="1" w:styleId="ae">
    <w:name w:val="コメント文字列 (文字)"/>
    <w:basedOn w:val="a0"/>
    <w:link w:val="ad"/>
    <w:uiPriority w:val="99"/>
    <w:locked/>
    <w:rsid w:val="0064548B"/>
    <w:rPr>
      <w:rFonts w:cs="Century"/>
      <w:sz w:val="21"/>
      <w:szCs w:val="21"/>
    </w:rPr>
  </w:style>
  <w:style w:type="paragraph" w:styleId="af">
    <w:name w:val="annotation subject"/>
    <w:basedOn w:val="ad"/>
    <w:next w:val="ad"/>
    <w:link w:val="af0"/>
    <w:uiPriority w:val="99"/>
    <w:semiHidden/>
    <w:unhideWhenUsed/>
    <w:rsid w:val="0064548B"/>
    <w:rPr>
      <w:b/>
      <w:bCs/>
    </w:rPr>
  </w:style>
  <w:style w:type="character" w:customStyle="1" w:styleId="af0">
    <w:name w:val="コメント内容 (文字)"/>
    <w:basedOn w:val="ae"/>
    <w:link w:val="af"/>
    <w:uiPriority w:val="99"/>
    <w:semiHidden/>
    <w:locked/>
    <w:rsid w:val="0064548B"/>
    <w:rPr>
      <w:rFonts w:cs="Century"/>
      <w:b/>
      <w:bCs/>
      <w:sz w:val="21"/>
      <w:szCs w:val="21"/>
    </w:rPr>
  </w:style>
  <w:style w:type="paragraph" w:customStyle="1" w:styleId="J">
    <w:name w:val="J条見出し"/>
    <w:basedOn w:val="a"/>
    <w:rsid w:val="009E75D4"/>
    <w:pPr>
      <w:keepNext/>
      <w:overflowPunct w:val="0"/>
      <w:autoSpaceDE w:val="0"/>
      <w:autoSpaceDN w:val="0"/>
      <w:ind w:firstLineChars="100" w:firstLine="100"/>
      <w:jc w:val="left"/>
    </w:pPr>
    <w:rPr>
      <w:rFonts w:ascii="ＭＳ ゴシック" w:eastAsia="ＭＳ ゴシック" w:cs="Times New Roman"/>
      <w:color w:val="008000"/>
      <w:sz w:val="18"/>
      <w:szCs w:val="18"/>
    </w:rPr>
  </w:style>
  <w:style w:type="paragraph" w:customStyle="1" w:styleId="Default">
    <w:name w:val="Default"/>
    <w:rsid w:val="009E75D4"/>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4227</Words>
  <Characters>225</Characters>
  <Application>Microsoft Office Word</Application>
  <DocSecurity>0</DocSecurity>
  <Lines>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2017-11-21T06:08:00Z</dcterms:created>
  <dcterms:modified xsi:type="dcterms:W3CDTF">2017-11-27T03:35:00Z</dcterms:modified>
</cp:coreProperties>
</file>