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J0"/>
        <w:pageBreakBefore/>
      </w:pPr>
      <w:r>
        <w:rPr>
          <w:rFonts w:hint="eastAsia"/>
        </w:rPr>
        <w:t>（</w:t>
      </w:r>
      <w:bookmarkStart w:id="0" w:name="_GoBack"/>
      <w:bookmarkEnd w:id="0"/>
      <w:r>
        <w:rPr>
          <w:rFonts w:hint="eastAsia"/>
        </w:rPr>
        <w:t>第４条による基本契約書の参考様式）</w:t>
      </w:r>
    </w:p>
    <w:p>
      <w:pPr>
        <w:pStyle w:val="J7"/>
        <w:rPr>
          <w:color w:val="auto"/>
        </w:rPr>
      </w:pPr>
      <w:r>
        <w:rPr>
          <w:rFonts w:hint="eastAsia"/>
          <w:color w:val="auto"/>
        </w:rPr>
        <w:t>債券等の現先取引に関する基本契約書</w:t>
      </w:r>
    </w:p>
    <w:p>
      <w:pPr>
        <w:pStyle w:val="J1"/>
        <w:ind w:firstLineChars="0" w:firstLine="0"/>
      </w:pPr>
      <w:r>
        <w:rPr>
          <w:rFonts w:hint="eastAsia"/>
        </w:rPr>
        <w:t>[●●]（以下「甲」という。）と[●●]（以下「乙」といい、甲及び乙をそれぞれ「当事者」と、両者を総称して「両当事者」という。）は、甲と乙との間で行う債券、国内ＣＰ、海外ＣＤ、海外ＣＰ及び外国貸付債権信託受益証券（以下「債券等」という。）の現先取引に関し、以下のとおり債券等の現先取引に関する基本契約書（[別紙●、別紙●及び別紙●]</w:t>
      </w:r>
      <w:r>
        <w:rPr>
          <w:rStyle w:val="a7"/>
        </w:rPr>
        <w:endnoteReference w:id="2"/>
      </w:r>
      <w:r>
        <w:rPr>
          <w:rFonts w:hint="eastAsia"/>
        </w:rPr>
        <w:t>を含む。以下「本基本契約書」という。）を締結した。</w:t>
      </w:r>
    </w:p>
    <w:p>
      <w:pPr>
        <w:pStyle w:val="J"/>
        <w:rPr>
          <w:color w:val="auto"/>
        </w:rPr>
      </w:pPr>
    </w:p>
    <w:p>
      <w:pPr>
        <w:pStyle w:val="J3"/>
        <w:tabs>
          <w:tab w:val="clear" w:pos="320"/>
          <w:tab w:val="left" w:pos="142"/>
        </w:tabs>
        <w:ind w:left="141" w:hangingChars="88" w:hanging="141"/>
        <w:rPr>
          <w:color w:val="auto"/>
        </w:rPr>
      </w:pPr>
      <w:r>
        <w:rPr>
          <w:rFonts w:hint="eastAsia"/>
          <w:color w:val="auto"/>
        </w:rPr>
        <w:t>第 １ 条（</w:t>
      </w:r>
      <w:r>
        <w:rPr>
          <w:rFonts w:hint="eastAsia"/>
          <w:color w:val="auto"/>
          <w:spacing w:val="240"/>
          <w:kern w:val="0"/>
          <w:fitText w:val="800" w:id="-708134144"/>
        </w:rPr>
        <w:t>適</w:t>
      </w:r>
      <w:r>
        <w:rPr>
          <w:rFonts w:hint="eastAsia"/>
          <w:color w:val="auto"/>
          <w:kern w:val="0"/>
          <w:fitText w:val="800" w:id="-708134144"/>
        </w:rPr>
        <w:t>用</w:t>
      </w:r>
      <w:r>
        <w:rPr>
          <w:rFonts w:hint="eastAsia"/>
          <w:color w:val="auto"/>
        </w:rPr>
        <w:t>）</w:t>
      </w:r>
    </w:p>
    <w:p>
      <w:pPr>
        <w:pStyle w:val="J3"/>
        <w:tabs>
          <w:tab w:val="clear" w:pos="320"/>
          <w:tab w:val="left" w:pos="284"/>
        </w:tabs>
        <w:ind w:left="141" w:hangingChars="88" w:hanging="141"/>
        <w:rPr>
          <w:color w:val="auto"/>
        </w:rPr>
      </w:pPr>
      <w:r>
        <w:rPr>
          <w:rFonts w:hint="eastAsia"/>
          <w:color w:val="auto"/>
        </w:rPr>
        <w:t>１</w:t>
      </w:r>
      <w:r>
        <w:rPr>
          <w:rFonts w:hint="eastAsia"/>
          <w:color w:val="auto"/>
        </w:rPr>
        <w:tab/>
        <w:t>甲と乙との間で行われる個別の債券等の現先取引（以下「個別現先取引」という。）に係る契約は、本基本契約書に基づいて締結される。</w:t>
      </w:r>
    </w:p>
    <w:p>
      <w:pPr>
        <w:pStyle w:val="J3"/>
        <w:tabs>
          <w:tab w:val="clear" w:pos="320"/>
          <w:tab w:val="left" w:pos="284"/>
        </w:tabs>
        <w:ind w:left="141" w:hangingChars="88" w:hanging="141"/>
        <w:rPr>
          <w:color w:val="auto"/>
        </w:rPr>
      </w:pPr>
      <w:r>
        <w:rPr>
          <w:rFonts w:hint="eastAsia"/>
          <w:color w:val="auto"/>
        </w:rPr>
        <w:t>２</w:t>
      </w:r>
      <w:r>
        <w:rPr>
          <w:rFonts w:hint="eastAsia"/>
          <w:color w:val="auto"/>
        </w:rPr>
        <w:tab/>
        <w:t>本基本契約書に添付される別紙（以下、それぞれを「各別紙」と、すべての別紙を総称して「別紙」という。）は本基本契約書の一部を構成するものとし、本基本契約書及び個別現先取引に係る契約は一体となってすべての個別現先取引に関する単一の契約を構成するものとする。本基本契約書のうち本文（本基本契約書の別紙以外の部分をいう。以下同じ。）と各別紙との間に抵触する規定がある場合には各別紙の規定が本文の規定に優先し、本基本契約書と個別現先取引に係る契約との間に抵触する規定がある場合には、当該個別現先取引に係る契約の規定が本基本契約書の規定に優先するものとする。</w:t>
      </w:r>
    </w:p>
    <w:p>
      <w:pPr>
        <w:pStyle w:val="J3"/>
        <w:rPr>
          <w:color w:val="auto"/>
        </w:rPr>
      </w:pPr>
      <w:r>
        <w:rPr>
          <w:rFonts w:hint="eastAsia"/>
          <w:color w:val="auto"/>
        </w:rPr>
        <w:t>第 ２ 条（</w:t>
      </w:r>
      <w:r>
        <w:rPr>
          <w:rFonts w:hint="eastAsia"/>
          <w:color w:val="auto"/>
          <w:spacing w:val="240"/>
          <w:kern w:val="0"/>
          <w:fitText w:val="800" w:id="-708134143"/>
        </w:rPr>
        <w:t>定</w:t>
      </w:r>
      <w:r>
        <w:rPr>
          <w:rFonts w:hint="eastAsia"/>
          <w:color w:val="auto"/>
          <w:kern w:val="0"/>
          <w:fitText w:val="800" w:id="-708134143"/>
        </w:rPr>
        <w:t>義</w:t>
      </w:r>
      <w:r>
        <w:rPr>
          <w:rFonts w:hint="eastAsia"/>
          <w:color w:val="auto"/>
        </w:rPr>
        <w:t>）</w:t>
      </w:r>
      <w:r>
        <w:rPr>
          <w:color w:val="auto"/>
        </w:rPr>
        <w:br/>
      </w:r>
      <w:r>
        <w:rPr>
          <w:rFonts w:hint="eastAsia"/>
          <w:color w:val="auto"/>
        </w:rPr>
        <w:t xml:space="preserve">　本基本契約書における次の各号に掲げる用語の定義は、当該各号に定めるところによる。</w:t>
      </w:r>
    </w:p>
    <w:p>
      <w:pPr>
        <w:pStyle w:val="J6"/>
        <w:ind w:left="2240" w:hanging="2081"/>
      </w:pPr>
      <w:r>
        <w:rPr>
          <w:rFonts w:hint="eastAsia"/>
        </w:rPr>
        <w:t>⑴</w:t>
      </w:r>
      <w:r>
        <w:rPr>
          <w:rFonts w:hint="eastAsia"/>
        </w:rPr>
        <w:tab/>
      </w:r>
      <w:r>
        <w:rPr>
          <w:rFonts w:hint="eastAsia"/>
        </w:rPr>
        <w:tab/>
      </w:r>
      <w:r>
        <w:rPr>
          <w:rFonts w:hint="eastAsia"/>
          <w:spacing w:val="640"/>
          <w:kern w:val="0"/>
          <w:fitText w:val="1600" w:id="-708134142"/>
        </w:rPr>
        <w:t>売</w:t>
      </w:r>
      <w:r>
        <w:rPr>
          <w:rFonts w:hint="eastAsia"/>
          <w:kern w:val="0"/>
          <w:fitText w:val="1600" w:id="-708134142"/>
        </w:rPr>
        <w:t>手</w:t>
      </w:r>
      <w:r>
        <w:rPr>
          <w:rFonts w:hint="eastAsia"/>
        </w:rPr>
        <w:t xml:space="preserve">　個別現先取引におけるスタート取引において、買手に対し取引対象債券等を売り付ける者をいう。</w:t>
      </w:r>
    </w:p>
    <w:p>
      <w:pPr>
        <w:pStyle w:val="J6"/>
        <w:ind w:left="2240" w:hanging="2081"/>
      </w:pPr>
      <w:r>
        <w:rPr>
          <w:rFonts w:hint="eastAsia"/>
        </w:rPr>
        <w:t>⑵</w:t>
      </w:r>
      <w:r>
        <w:rPr>
          <w:rFonts w:hint="eastAsia"/>
        </w:rPr>
        <w:tab/>
      </w:r>
      <w:r>
        <w:rPr>
          <w:rFonts w:hint="eastAsia"/>
        </w:rPr>
        <w:tab/>
      </w:r>
      <w:r>
        <w:rPr>
          <w:rFonts w:hint="eastAsia"/>
          <w:spacing w:val="280"/>
          <w:kern w:val="0"/>
          <w:fitText w:val="1600" w:id="-708134141"/>
        </w:rPr>
        <w:t>営業</w:t>
      </w:r>
      <w:r>
        <w:rPr>
          <w:rFonts w:hint="eastAsia"/>
          <w:kern w:val="0"/>
          <w:fitText w:val="1600" w:id="-708134141"/>
        </w:rPr>
        <w:t>日</w:t>
      </w:r>
      <w:r>
        <w:rPr>
          <w:rFonts w:hint="eastAsia"/>
        </w:rPr>
        <w:t xml:space="preserve">　日本国内において、甲と乙がともに営業を行っている日をいう。</w:t>
      </w:r>
    </w:p>
    <w:p>
      <w:pPr>
        <w:pStyle w:val="J6"/>
        <w:ind w:left="2240" w:hanging="2081"/>
      </w:pPr>
      <w:r>
        <w:rPr>
          <w:rFonts w:hint="eastAsia"/>
        </w:rPr>
        <w:t>⑶</w:t>
      </w:r>
      <w:r>
        <w:rPr>
          <w:rFonts w:hint="eastAsia"/>
        </w:rPr>
        <w:tab/>
      </w:r>
      <w:r>
        <w:rPr>
          <w:rFonts w:hint="eastAsia"/>
        </w:rPr>
        <w:tab/>
      </w:r>
      <w:r>
        <w:rPr>
          <w:rFonts w:hint="eastAsia"/>
          <w:spacing w:val="100"/>
          <w:kern w:val="0"/>
          <w:fitText w:val="1600" w:id="-708134139"/>
        </w:rPr>
        <w:t>エンド取</w:t>
      </w:r>
      <w:r>
        <w:rPr>
          <w:rFonts w:hint="eastAsia"/>
          <w:kern w:val="0"/>
          <w:fitText w:val="1600" w:id="-708134139"/>
        </w:rPr>
        <w:t>引</w:t>
      </w:r>
      <w:r>
        <w:rPr>
          <w:rFonts w:hint="eastAsia"/>
        </w:rPr>
        <w:t xml:space="preserve">　個別現先取引において買手が売手に対し同種、同量の債券等を売り戻す取引をいう。</w:t>
      </w:r>
    </w:p>
    <w:p>
      <w:pPr>
        <w:pStyle w:val="J6"/>
        <w:ind w:left="2240" w:hanging="2081"/>
      </w:pPr>
      <w:r>
        <w:rPr>
          <w:rFonts w:hint="eastAsia"/>
        </w:rPr>
        <w:t>⑷</w:t>
      </w:r>
      <w:r>
        <w:rPr>
          <w:rFonts w:hint="eastAsia"/>
        </w:rPr>
        <w:tab/>
      </w:r>
      <w:r>
        <w:rPr>
          <w:rFonts w:hint="eastAsia"/>
        </w:rPr>
        <w:tab/>
      </w:r>
      <w:r>
        <w:rPr>
          <w:rFonts w:hint="eastAsia"/>
          <w:spacing w:val="23"/>
          <w:kern w:val="0"/>
          <w:fitText w:val="1600" w:id="-708134138"/>
        </w:rPr>
        <w:t>エンド取引受渡</w:t>
      </w:r>
      <w:r>
        <w:rPr>
          <w:rFonts w:hint="eastAsia"/>
          <w:kern w:val="0"/>
          <w:fitText w:val="1600" w:id="-708134138"/>
        </w:rPr>
        <w:t>日</w:t>
      </w:r>
      <w:r>
        <w:rPr>
          <w:rFonts w:hint="eastAsia"/>
        </w:rPr>
        <w:t xml:space="preserve">　エンド取引の受渡日として、個別現先取引で定める日をいう。ただし、別途定めがある場合、当該定めに基づき、買手が同種、同量の債券等を売り戻し、売手が同種、同量の債券等を買い戻す日をいう。</w:t>
      </w:r>
    </w:p>
    <w:p>
      <w:pPr>
        <w:pStyle w:val="J6"/>
        <w:ind w:left="2240" w:hanging="2081"/>
      </w:pPr>
      <w:r>
        <w:rPr>
          <w:rFonts w:hint="eastAsia"/>
        </w:rPr>
        <w:t>⑸</w:t>
      </w:r>
      <w:r>
        <w:rPr>
          <w:rFonts w:hint="eastAsia"/>
        </w:rPr>
        <w:tab/>
      </w:r>
      <w:r>
        <w:rPr>
          <w:rFonts w:hint="eastAsia"/>
        </w:rPr>
        <w:tab/>
      </w:r>
      <w:r>
        <w:rPr>
          <w:rFonts w:hint="eastAsia"/>
          <w:spacing w:val="40"/>
          <w:kern w:val="0"/>
          <w:fitText w:val="1600" w:id="-708134137"/>
        </w:rPr>
        <w:t>エンド売買金</w:t>
      </w:r>
      <w:r>
        <w:rPr>
          <w:rFonts w:hint="eastAsia"/>
          <w:kern w:val="0"/>
          <w:fitText w:val="1600" w:id="-708134137"/>
        </w:rPr>
        <w:t>額</w:t>
      </w:r>
      <w:r>
        <w:rPr>
          <w:rFonts w:hint="eastAsia"/>
        </w:rPr>
        <w:t xml:space="preserve">　エンド取引の受渡金額として、個別現先取引につき各別紙に定める計算方法に従い算出される金額をいう。</w:t>
      </w:r>
    </w:p>
    <w:p>
      <w:pPr>
        <w:pStyle w:val="J6"/>
        <w:ind w:left="2240" w:hanging="2081"/>
      </w:pPr>
      <w:r>
        <w:rPr>
          <w:rFonts w:hint="eastAsia"/>
        </w:rPr>
        <w:t>⑹</w:t>
      </w:r>
      <w:r>
        <w:rPr>
          <w:rFonts w:hint="eastAsia"/>
        </w:rPr>
        <w:tab/>
      </w:r>
      <w:r>
        <w:rPr>
          <w:rFonts w:hint="eastAsia"/>
        </w:rPr>
        <w:tab/>
      </w:r>
      <w:r>
        <w:rPr>
          <w:rFonts w:hint="eastAsia"/>
          <w:spacing w:val="640"/>
          <w:kern w:val="0"/>
          <w:fitText w:val="1600" w:id="-708134136"/>
        </w:rPr>
        <w:t>買</w:t>
      </w:r>
      <w:r>
        <w:rPr>
          <w:rFonts w:hint="eastAsia"/>
          <w:kern w:val="0"/>
          <w:fitText w:val="1600" w:id="-708134136"/>
        </w:rPr>
        <w:t>手</w:t>
      </w:r>
      <w:r>
        <w:rPr>
          <w:rFonts w:hint="eastAsia"/>
        </w:rPr>
        <w:t xml:space="preserve">　個別現先取引におけるスタート取引において、売手から取引対象債券等を買い付ける者をいう。</w:t>
      </w:r>
    </w:p>
    <w:p>
      <w:pPr>
        <w:pStyle w:val="J6"/>
        <w:ind w:left="2240" w:hanging="2081"/>
      </w:pPr>
      <w:r>
        <w:rPr>
          <w:rFonts w:hint="eastAsia"/>
        </w:rPr>
        <w:t>⑺</w:t>
      </w:r>
      <w:r>
        <w:rPr>
          <w:rFonts w:hint="eastAsia"/>
        </w:rPr>
        <w:tab/>
      </w:r>
      <w:r>
        <w:rPr>
          <w:rFonts w:hint="eastAsia"/>
        </w:rPr>
        <w:tab/>
      </w:r>
      <w:r>
        <w:rPr>
          <w:rFonts w:hint="eastAsia"/>
          <w:spacing w:val="160"/>
          <w:kern w:val="0"/>
          <w:fitText w:val="1600" w:id="-708134135"/>
        </w:rPr>
        <w:t>経過利</w:t>
      </w:r>
      <w:r>
        <w:rPr>
          <w:rFonts w:hint="eastAsia"/>
          <w:kern w:val="0"/>
          <w:fitText w:val="1600" w:id="-708134135"/>
        </w:rPr>
        <w:t>子</w:t>
      </w:r>
      <w:r>
        <w:rPr>
          <w:rFonts w:hint="eastAsia"/>
        </w:rPr>
        <w:t xml:space="preserve">　任意の日における</w:t>
      </w:r>
      <w:r>
        <w:rPr>
          <w:rFonts w:hAnsi="ＭＳ 明朝" w:hint="eastAsia"/>
        </w:rPr>
        <w:t>有価</w:t>
      </w:r>
      <w:r>
        <w:rPr>
          <w:rFonts w:hint="eastAsia"/>
        </w:rPr>
        <w:t>証券についての直前の利子計算期間の開始日から当該任意の日までの間の経過日数として市場慣行に従って計算された日数分の利子相当額をいい、額面</w:t>
      </w:r>
      <w:r>
        <w:t>100</w:t>
      </w:r>
      <w:r>
        <w:rPr>
          <w:rFonts w:hint="eastAsia"/>
        </w:rPr>
        <w:t>％当たりの割合で計算されるものとする。</w:t>
      </w:r>
    </w:p>
    <w:p>
      <w:pPr>
        <w:pStyle w:val="J6"/>
        <w:ind w:left="2240" w:hanging="2081"/>
      </w:pPr>
      <w:r>
        <w:rPr>
          <w:rFonts w:hint="eastAsia"/>
        </w:rPr>
        <w:t>⑻</w:t>
      </w:r>
      <w:r>
        <w:rPr>
          <w:rFonts w:hint="eastAsia"/>
        </w:rPr>
        <w:tab/>
      </w:r>
      <w:r>
        <w:rPr>
          <w:rFonts w:hint="eastAsia"/>
        </w:rPr>
        <w:tab/>
      </w:r>
      <w:r>
        <w:rPr>
          <w:rFonts w:hint="eastAsia"/>
          <w:spacing w:val="160"/>
          <w:kern w:val="0"/>
          <w:fitText w:val="1600" w:id="-708134134"/>
        </w:rPr>
        <w:t>契約通</w:t>
      </w:r>
      <w:r>
        <w:rPr>
          <w:rFonts w:hint="eastAsia"/>
          <w:kern w:val="0"/>
          <w:fitText w:val="1600" w:id="-708134134"/>
        </w:rPr>
        <w:t>貨</w:t>
      </w:r>
      <w:r>
        <w:rPr>
          <w:rFonts w:hint="eastAsia"/>
        </w:rPr>
        <w:t xml:space="preserve">　第９条第１項に定める通貨をいう。</w:t>
      </w:r>
    </w:p>
    <w:p>
      <w:pPr>
        <w:pStyle w:val="J6"/>
        <w:ind w:left="2240" w:hanging="2081"/>
      </w:pPr>
      <w:r>
        <w:rPr>
          <w:rFonts w:hint="eastAsia"/>
        </w:rPr>
        <w:t>⑼</w:t>
      </w:r>
      <w:r>
        <w:rPr>
          <w:rFonts w:hint="eastAsia"/>
        </w:rPr>
        <w:tab/>
      </w:r>
      <w:r>
        <w:rPr>
          <w:rFonts w:hint="eastAsia"/>
        </w:rPr>
        <w:tab/>
      </w:r>
      <w:r>
        <w:rPr>
          <w:rFonts w:hint="eastAsia"/>
          <w:spacing w:val="100"/>
          <w:kern w:val="0"/>
          <w:fitText w:val="1600" w:id="-708134133"/>
        </w:rPr>
        <w:t>現先レー</w:t>
      </w:r>
      <w:r>
        <w:rPr>
          <w:rFonts w:hint="eastAsia"/>
          <w:kern w:val="0"/>
          <w:fitText w:val="1600" w:id="-708134133"/>
        </w:rPr>
        <w:t>ト</w:t>
      </w:r>
      <w:r>
        <w:rPr>
          <w:rFonts w:hint="eastAsia"/>
        </w:rPr>
        <w:t xml:space="preserve">　エンド売買金額算定の基準となる料率として、個別現先取引で定めるものをいう。</w:t>
      </w:r>
    </w:p>
    <w:p>
      <w:pPr>
        <w:pStyle w:val="J6"/>
        <w:ind w:left="2240" w:hanging="2081"/>
      </w:pPr>
      <w:r>
        <w:rPr>
          <w:rFonts w:hint="eastAsia"/>
        </w:rPr>
        <w:t>⑽</w:t>
      </w:r>
      <w:r>
        <w:rPr>
          <w:rFonts w:hint="eastAsia"/>
        </w:rPr>
        <w:tab/>
      </w:r>
      <w:r>
        <w:rPr>
          <w:rFonts w:hint="eastAsia"/>
        </w:rPr>
        <w:tab/>
      </w:r>
      <w:r>
        <w:rPr>
          <w:rFonts w:hint="eastAsia"/>
          <w:spacing w:val="40"/>
          <w:kern w:val="0"/>
          <w:fitText w:val="1600" w:id="-708134132"/>
        </w:rPr>
        <w:t>個別取引明細</w:t>
      </w:r>
      <w:r>
        <w:rPr>
          <w:rFonts w:hint="eastAsia"/>
          <w:kern w:val="0"/>
          <w:fitText w:val="1600" w:id="-708134132"/>
        </w:rPr>
        <w:t>書</w:t>
      </w:r>
      <w:r>
        <w:rPr>
          <w:rFonts w:hint="eastAsia"/>
        </w:rPr>
        <w:t xml:space="preserve">　個別現先取引に係る契約の内容を記載した書面をいう。</w:t>
      </w:r>
    </w:p>
    <w:p>
      <w:pPr>
        <w:pStyle w:val="J6"/>
        <w:ind w:left="2240" w:hanging="2081"/>
      </w:pPr>
      <w:r>
        <w:rPr>
          <w:rFonts w:hint="eastAsia"/>
        </w:rPr>
        <w:t>⑾</w:t>
      </w:r>
      <w:r>
        <w:rPr>
          <w:rFonts w:hint="eastAsia"/>
        </w:rPr>
        <w:tab/>
      </w:r>
      <w:r>
        <w:rPr>
          <w:rFonts w:hint="eastAsia"/>
        </w:rPr>
        <w:tab/>
      </w:r>
      <w:r>
        <w:rPr>
          <w:rFonts w:hint="eastAsia"/>
          <w:spacing w:val="40"/>
          <w:kern w:val="0"/>
          <w:fitText w:val="1600" w:id="-708134131"/>
        </w:rPr>
        <w:t>個別取引与信</w:t>
      </w:r>
      <w:r>
        <w:rPr>
          <w:rFonts w:hint="eastAsia"/>
          <w:kern w:val="0"/>
          <w:fitText w:val="1600" w:id="-708134131"/>
        </w:rPr>
        <w:t>額</w:t>
      </w:r>
      <w:r>
        <w:rPr>
          <w:rFonts w:hint="eastAsia"/>
        </w:rPr>
        <w:t xml:space="preserve">　個別現先取引において、スタート取引受渡日からエンド取引受渡日（ただし、同種、同量の債券等が売手に受け渡された日又は取引が終了した日がエンド取引受渡日より後である場合にはそれらの日とする。）までの間の任意の時点における当該個別現先取引についての次の①と②の差額をいう。</w:t>
      </w:r>
    </w:p>
    <w:p>
      <w:pPr>
        <w:pStyle w:val="J5"/>
        <w:ind w:left="2399" w:hanging="159"/>
      </w:pPr>
      <w:r>
        <w:rPr>
          <w:rFonts w:hint="eastAsia"/>
        </w:rPr>
        <w:t>①　当該時点をエンド取引受渡日とみなした場合におけるエンド売買金額に、売買金額算出比率に１を加えた数値を乗じた額。</w:t>
      </w:r>
    </w:p>
    <w:p>
      <w:pPr>
        <w:pStyle w:val="J5"/>
        <w:ind w:left="2399" w:hanging="159"/>
      </w:pPr>
      <w:r>
        <w:rPr>
          <w:rFonts w:hint="eastAsia"/>
        </w:rPr>
        <w:t>②　当該時点における同種、同量の債券等の時価総額。</w:t>
      </w:r>
    </w:p>
    <w:p>
      <w:pPr>
        <w:pStyle w:val="J6"/>
        <w:ind w:left="2240" w:firstLine="0"/>
      </w:pPr>
      <w:r>
        <w:rPr>
          <w:rFonts w:hint="eastAsia"/>
        </w:rPr>
        <w:t>①の額が②の額より大きい場合、買手がその差額に等しい額の個別取引与信額を有し、②の</w:t>
      </w:r>
      <w:r>
        <w:rPr>
          <w:rFonts w:hint="eastAsia"/>
        </w:rPr>
        <w:lastRenderedPageBreak/>
        <w:t>額が①の額より大きい場合、売手がその差額に等しい額の個別取引与信額を有する。</w:t>
      </w:r>
    </w:p>
    <w:p>
      <w:pPr>
        <w:pStyle w:val="J6"/>
        <w:ind w:left="2240" w:hanging="2081"/>
      </w:pPr>
      <w:r>
        <w:rPr>
          <w:rFonts w:hint="eastAsia"/>
        </w:rPr>
        <w:t>⑿</w:t>
      </w:r>
      <w:r>
        <w:rPr>
          <w:rFonts w:hint="eastAsia"/>
        </w:rPr>
        <w:tab/>
      </w:r>
      <w:r>
        <w:rPr>
          <w:rFonts w:hint="eastAsia"/>
        </w:rPr>
        <w:tab/>
      </w:r>
      <w:r>
        <w:rPr>
          <w:rFonts w:hint="eastAsia"/>
          <w:spacing w:val="52"/>
          <w:w w:val="68"/>
          <w:kern w:val="0"/>
          <w:fitText w:val="1600" w:id="-708134130"/>
        </w:rPr>
        <w:t>債券等の現先取</w:t>
      </w:r>
      <w:r>
        <w:rPr>
          <w:rFonts w:hint="eastAsia"/>
          <w:spacing w:val="1"/>
          <w:w w:val="68"/>
          <w:kern w:val="0"/>
          <w:fitText w:val="1600" w:id="-708134130"/>
        </w:rPr>
        <w:t>引</w:t>
      </w:r>
      <w:r>
        <w:rPr>
          <w:rFonts w:hint="eastAsia"/>
        </w:rPr>
        <w:t xml:space="preserve">　売買の目的たる債券等と同種、同量の債券等を将来の所定期日（所定の方法により決定される期日を含む。）に所定の価額（所定の計算方法により算出される価額を含む。）で買い戻すこと又は売り戻すことを内容とする特約付の債券等の売買をいう。</w:t>
      </w:r>
    </w:p>
    <w:p>
      <w:pPr>
        <w:pStyle w:val="J6"/>
        <w:ind w:left="2240" w:hanging="2081"/>
      </w:pPr>
      <w:r>
        <w:rPr>
          <w:rFonts w:hint="eastAsia"/>
        </w:rPr>
        <w:t>⒀</w:t>
      </w:r>
      <w:r>
        <w:rPr>
          <w:rFonts w:hint="eastAsia"/>
        </w:rPr>
        <w:tab/>
      </w:r>
      <w:r>
        <w:rPr>
          <w:rFonts w:hint="eastAsia"/>
        </w:rPr>
        <w:tab/>
      </w:r>
      <w:r>
        <w:rPr>
          <w:rFonts w:hint="eastAsia"/>
          <w:spacing w:val="40"/>
          <w:w w:val="55"/>
          <w:kern w:val="0"/>
          <w:fitText w:val="1600" w:id="-708134129"/>
        </w:rPr>
        <w:t>債務不履行時時価総</w:t>
      </w:r>
      <w:r>
        <w:rPr>
          <w:rFonts w:hint="eastAsia"/>
          <w:spacing w:val="2"/>
          <w:w w:val="55"/>
          <w:kern w:val="0"/>
          <w:fitText w:val="1600" w:id="-708134129"/>
        </w:rPr>
        <w:t>額</w:t>
      </w:r>
      <w:r>
        <w:rPr>
          <w:rFonts w:hint="eastAsia"/>
        </w:rPr>
        <w:t xml:space="preserve">　一方当事者が債務不履行事由に該当した場合における、</w:t>
      </w:r>
      <w:r>
        <w:rPr>
          <w:rFonts w:hAnsi="ＭＳ 明朝" w:hint="eastAsia"/>
        </w:rPr>
        <w:t>有価</w:t>
      </w:r>
      <w:r>
        <w:rPr>
          <w:rFonts w:hint="eastAsia"/>
        </w:rPr>
        <w:t>証券についての次の価額をいう。</w:t>
      </w:r>
    </w:p>
    <w:p>
      <w:pPr>
        <w:pStyle w:val="J5"/>
        <w:ind w:left="2399" w:hanging="159"/>
      </w:pPr>
      <w:r>
        <w:rPr>
          <w:rFonts w:hint="eastAsia"/>
        </w:rPr>
        <w:t>①　債務不履行当事者に対して引き渡されるべき</w:t>
      </w:r>
      <w:r>
        <w:rPr>
          <w:rFonts w:hAnsi="ＭＳ 明朝" w:hint="eastAsia"/>
        </w:rPr>
        <w:t>有価</w:t>
      </w:r>
      <w:r>
        <w:rPr>
          <w:rFonts w:hint="eastAsia"/>
        </w:rPr>
        <w:t>証券の場合</w:t>
      </w:r>
    </w:p>
    <w:p>
      <w:pPr>
        <w:pStyle w:val="J5"/>
        <w:ind w:left="2557" w:hanging="159"/>
      </w:pPr>
      <w:r>
        <w:rPr>
          <w:rFonts w:hint="eastAsia"/>
        </w:rPr>
        <w:t>イ．非債務不履行当事者が、債務不履行事由の発生時と債務不履行評価時の間に、債務不履行当事者に対して引き渡されるべき</w:t>
      </w:r>
      <w:r>
        <w:rPr>
          <w:rFonts w:hAnsi="ＭＳ 明朝" w:hint="eastAsia"/>
        </w:rPr>
        <w:t>有価</w:t>
      </w:r>
      <w:r>
        <w:rPr>
          <w:rFonts w:hint="eastAsia"/>
        </w:rPr>
        <w:t>証券と同種、同量の</w:t>
      </w:r>
      <w:r>
        <w:rPr>
          <w:rFonts w:hAnsi="ＭＳ 明朝" w:hint="eastAsia"/>
        </w:rPr>
        <w:t>有価</w:t>
      </w:r>
      <w:r>
        <w:rPr>
          <w:rFonts w:hint="eastAsia"/>
        </w:rPr>
        <w:t>証券を売却した場合、正味の売却代金（売却に要したすべての合理的な費用、手数料等を控除後のもの。）</w:t>
      </w:r>
    </w:p>
    <w:p>
      <w:pPr>
        <w:pStyle w:val="J5"/>
        <w:ind w:left="2557" w:hanging="159"/>
      </w:pPr>
      <w:r>
        <w:rPr>
          <w:rFonts w:hint="eastAsia"/>
        </w:rPr>
        <w:t>ロ．当該売却が債務不履行評価時までに行われなかった場合、債務不履行評価時における当該</w:t>
      </w:r>
      <w:r>
        <w:rPr>
          <w:rFonts w:hAnsi="ＭＳ 明朝" w:hint="eastAsia"/>
        </w:rPr>
        <w:t>有価</w:t>
      </w:r>
      <w:r>
        <w:rPr>
          <w:rFonts w:hint="eastAsia"/>
        </w:rPr>
        <w:t>証券の時価総額</w:t>
      </w:r>
    </w:p>
    <w:p>
      <w:pPr>
        <w:pStyle w:val="J5"/>
        <w:ind w:left="2399" w:hanging="159"/>
      </w:pPr>
      <w:r>
        <w:rPr>
          <w:rFonts w:hint="eastAsia"/>
        </w:rPr>
        <w:t>②　債務不履行当事者により引き渡されるべき</w:t>
      </w:r>
      <w:r>
        <w:rPr>
          <w:rFonts w:hAnsi="ＭＳ 明朝" w:hint="eastAsia"/>
        </w:rPr>
        <w:t>有価</w:t>
      </w:r>
      <w:r>
        <w:rPr>
          <w:rFonts w:hint="eastAsia"/>
        </w:rPr>
        <w:t>証券の場合</w:t>
      </w:r>
    </w:p>
    <w:p>
      <w:pPr>
        <w:pStyle w:val="J5"/>
        <w:ind w:left="2557" w:hanging="159"/>
      </w:pPr>
      <w:r>
        <w:rPr>
          <w:rFonts w:hint="eastAsia"/>
        </w:rPr>
        <w:t>イ．非債務不履行当事者が、債務不履行事由の発生時と債務不履行評価時の間に、債務不履行当事者により引き渡されるべき</w:t>
      </w:r>
      <w:r>
        <w:rPr>
          <w:rFonts w:hAnsi="ＭＳ 明朝" w:hint="eastAsia"/>
        </w:rPr>
        <w:t>有価</w:t>
      </w:r>
      <w:r>
        <w:rPr>
          <w:rFonts w:hint="eastAsia"/>
        </w:rPr>
        <w:t>証券と同種、同量の</w:t>
      </w:r>
      <w:r>
        <w:rPr>
          <w:rFonts w:hAnsi="ＭＳ 明朝" w:hint="eastAsia"/>
        </w:rPr>
        <w:t>有価</w:t>
      </w:r>
      <w:r>
        <w:rPr>
          <w:rFonts w:hint="eastAsia"/>
        </w:rPr>
        <w:t>証券を購入した場合、その購入代金（購入に要したすべての合理的な費用、手数料等を含む。）</w:t>
      </w:r>
    </w:p>
    <w:p>
      <w:pPr>
        <w:pStyle w:val="J5"/>
        <w:ind w:left="2557" w:hanging="159"/>
      </w:pPr>
      <w:r>
        <w:rPr>
          <w:rFonts w:hint="eastAsia"/>
        </w:rPr>
        <w:t>ロ．当該購入が債務不履行評価時までに行われなかった場合、債務不履行評価時における当該</w:t>
      </w:r>
      <w:r>
        <w:rPr>
          <w:rFonts w:hAnsi="ＭＳ 明朝" w:hint="eastAsia"/>
        </w:rPr>
        <w:t>有価</w:t>
      </w:r>
      <w:r>
        <w:rPr>
          <w:rFonts w:hint="eastAsia"/>
        </w:rPr>
        <w:t>証券の時価総額</w:t>
      </w:r>
    </w:p>
    <w:p>
      <w:pPr>
        <w:pStyle w:val="J5"/>
        <w:ind w:left="2240" w:firstLine="0"/>
      </w:pPr>
      <w:r>
        <w:rPr>
          <w:rFonts w:hint="eastAsia"/>
        </w:rPr>
        <w:t>上記①及び②のいずれの場合においても、その額は非債務不履行当事者により決定されるものとする。</w:t>
      </w:r>
    </w:p>
    <w:p>
      <w:pPr>
        <w:pStyle w:val="J6"/>
        <w:ind w:left="2240" w:hanging="2081"/>
      </w:pPr>
      <w:r>
        <w:rPr>
          <w:rFonts w:hint="eastAsia"/>
        </w:rPr>
        <w:t>⒁</w:t>
      </w:r>
      <w:r>
        <w:rPr>
          <w:rFonts w:hint="eastAsia"/>
        </w:rPr>
        <w:tab/>
      </w:r>
      <w:r>
        <w:rPr>
          <w:rFonts w:hint="eastAsia"/>
        </w:rPr>
        <w:tab/>
      </w:r>
      <w:r>
        <w:rPr>
          <w:rFonts w:hint="eastAsia"/>
          <w:spacing w:val="61"/>
          <w:w w:val="78"/>
          <w:kern w:val="0"/>
          <w:fitText w:val="1600" w:id="-708134128"/>
        </w:rPr>
        <w:t>債務不履行事</w:t>
      </w:r>
      <w:r>
        <w:rPr>
          <w:rFonts w:hint="eastAsia"/>
          <w:spacing w:val="1"/>
          <w:w w:val="78"/>
          <w:kern w:val="0"/>
          <w:fitText w:val="1600" w:id="-708134128"/>
        </w:rPr>
        <w:t>由</w:t>
      </w:r>
      <w:r>
        <w:rPr>
          <w:rFonts w:hint="eastAsia"/>
        </w:rPr>
        <w:t xml:space="preserve">　第</w:t>
      </w:r>
      <w:r>
        <w:t>11</w:t>
      </w:r>
      <w:r>
        <w:rPr>
          <w:rFonts w:hint="eastAsia"/>
        </w:rPr>
        <w:t>条第１項各号に定める事由をいう。</w:t>
      </w:r>
    </w:p>
    <w:p>
      <w:pPr>
        <w:pStyle w:val="J6"/>
        <w:ind w:left="2240" w:hanging="2081"/>
      </w:pPr>
      <w:r>
        <w:rPr>
          <w:rFonts w:hint="eastAsia"/>
        </w:rPr>
        <w:t>⒂</w:t>
      </w:r>
      <w:r>
        <w:rPr>
          <w:rFonts w:hint="eastAsia"/>
        </w:rPr>
        <w:tab/>
      </w:r>
      <w:r>
        <w:rPr>
          <w:rFonts w:hint="eastAsia"/>
        </w:rPr>
        <w:tab/>
      </w:r>
      <w:r>
        <w:rPr>
          <w:rFonts w:hint="eastAsia"/>
          <w:spacing w:val="52"/>
          <w:w w:val="68"/>
          <w:kern w:val="0"/>
          <w:fitText w:val="1600" w:id="-708134143"/>
        </w:rPr>
        <w:t>債務不履行当事</w:t>
      </w:r>
      <w:r>
        <w:rPr>
          <w:rFonts w:hint="eastAsia"/>
          <w:spacing w:val="1"/>
          <w:w w:val="68"/>
          <w:kern w:val="0"/>
          <w:fitText w:val="1600" w:id="-708134143"/>
        </w:rPr>
        <w:t>者</w:t>
      </w:r>
      <w:r>
        <w:rPr>
          <w:rFonts w:hint="eastAsia"/>
        </w:rPr>
        <w:t xml:space="preserve">　第</w:t>
      </w:r>
      <w:r>
        <w:t>11</w:t>
      </w:r>
      <w:r>
        <w:rPr>
          <w:rFonts w:hint="eastAsia"/>
        </w:rPr>
        <w:t>条第１項に定める当事者をいう。</w:t>
      </w:r>
    </w:p>
    <w:p>
      <w:pPr>
        <w:pStyle w:val="J6"/>
        <w:ind w:left="2240" w:hanging="2081"/>
      </w:pPr>
      <w:r>
        <w:rPr>
          <w:rFonts w:hint="eastAsia"/>
        </w:rPr>
        <w:t>⒃</w:t>
      </w:r>
      <w:r>
        <w:rPr>
          <w:rFonts w:hint="eastAsia"/>
        </w:rPr>
        <w:tab/>
      </w:r>
      <w:r>
        <w:rPr>
          <w:rFonts w:hint="eastAsia"/>
        </w:rPr>
        <w:tab/>
      </w:r>
      <w:r>
        <w:rPr>
          <w:rFonts w:hint="eastAsia"/>
          <w:spacing w:val="52"/>
          <w:w w:val="68"/>
          <w:kern w:val="0"/>
          <w:fitText w:val="1600" w:id="-708134142"/>
        </w:rPr>
        <w:t>債務不履行評価</w:t>
      </w:r>
      <w:r>
        <w:rPr>
          <w:rFonts w:hint="eastAsia"/>
          <w:spacing w:val="1"/>
          <w:w w:val="68"/>
          <w:kern w:val="0"/>
          <w:fitText w:val="1600" w:id="-708134142"/>
        </w:rPr>
        <w:t>時</w:t>
      </w:r>
      <w:r>
        <w:rPr>
          <w:rFonts w:hint="eastAsia"/>
        </w:rPr>
        <w:t xml:space="preserve">　個別</w:t>
      </w:r>
      <w:r>
        <w:rPr>
          <w:rFonts w:hAnsi="ＭＳ 明朝" w:hint="eastAsia"/>
        </w:rPr>
        <w:t>有価</w:t>
      </w:r>
      <w:r>
        <w:rPr>
          <w:rFonts w:hint="eastAsia"/>
        </w:rPr>
        <w:t>証券についての次の時点をいう。</w:t>
      </w:r>
    </w:p>
    <w:p>
      <w:pPr>
        <w:pStyle w:val="J5"/>
        <w:ind w:left="2399" w:hanging="159"/>
      </w:pPr>
      <w:r>
        <w:rPr>
          <w:rFonts w:hint="eastAsia"/>
        </w:rPr>
        <w:t>①　債務不履行事由が、当該個別</w:t>
      </w:r>
      <w:r>
        <w:rPr>
          <w:rFonts w:hAnsi="ＭＳ 明朝" w:hint="eastAsia"/>
        </w:rPr>
        <w:t>有価</w:t>
      </w:r>
      <w:r>
        <w:rPr>
          <w:rFonts w:hint="eastAsia"/>
        </w:rPr>
        <w:t>証券の取引市場（非債務不履行当事者が決定する。）における取引日の午後３時までに生じた場合、当該市場の翌取引日の取引終了時</w:t>
      </w:r>
    </w:p>
    <w:p>
      <w:pPr>
        <w:pStyle w:val="J5"/>
        <w:ind w:left="2399" w:hanging="159"/>
      </w:pPr>
      <w:r>
        <w:rPr>
          <w:rFonts w:hint="eastAsia"/>
        </w:rPr>
        <w:t>②　上記①以外の場合、当該市場における債務不履行事由が生じた日の翌々取引日の取引終了時</w:t>
      </w:r>
    </w:p>
    <w:p>
      <w:pPr>
        <w:pStyle w:val="J6"/>
        <w:ind w:left="2240" w:hanging="2081"/>
      </w:pPr>
      <w:r>
        <w:rPr>
          <w:rFonts w:hint="eastAsia"/>
        </w:rPr>
        <w:t>⒄</w:t>
      </w:r>
      <w:r>
        <w:rPr>
          <w:rFonts w:hint="eastAsia"/>
        </w:rPr>
        <w:tab/>
      </w:r>
      <w:r>
        <w:rPr>
          <w:rFonts w:hint="eastAsia"/>
        </w:rPr>
        <w:tab/>
      </w:r>
      <w:r>
        <w:rPr>
          <w:rFonts w:hint="eastAsia"/>
          <w:spacing w:val="640"/>
          <w:kern w:val="0"/>
          <w:fitText w:val="1600" w:id="-708134141"/>
        </w:rPr>
        <w:t>時</w:t>
      </w:r>
      <w:r>
        <w:rPr>
          <w:rFonts w:hint="eastAsia"/>
          <w:kern w:val="0"/>
          <w:fitText w:val="1600" w:id="-708134141"/>
        </w:rPr>
        <w:t>価</w:t>
      </w:r>
      <w:r>
        <w:rPr>
          <w:rFonts w:hint="eastAsia"/>
        </w:rPr>
        <w:t xml:space="preserve">　個別</w:t>
      </w:r>
      <w:r>
        <w:rPr>
          <w:rFonts w:hAnsi="ＭＳ 明朝" w:hint="eastAsia"/>
        </w:rPr>
        <w:t>有価</w:t>
      </w:r>
      <w:r>
        <w:rPr>
          <w:rFonts w:hint="eastAsia"/>
        </w:rPr>
        <w:t>証券についての経過利子を含む額面</w:t>
      </w:r>
      <w:r>
        <w:t>100</w:t>
      </w:r>
      <w:r>
        <w:rPr>
          <w:rFonts w:hint="eastAsia"/>
        </w:rPr>
        <w:t>％当たりの市場価格に基づく価額割合又は合理的に算定された価額割合をいう。</w:t>
      </w:r>
    </w:p>
    <w:p>
      <w:pPr>
        <w:pStyle w:val="J6"/>
        <w:ind w:left="2240" w:hanging="2081"/>
      </w:pPr>
      <w:r>
        <w:rPr>
          <w:rFonts w:hint="eastAsia"/>
        </w:rPr>
        <w:t>⒅</w:t>
      </w:r>
      <w:r>
        <w:rPr>
          <w:rFonts w:hint="eastAsia"/>
        </w:rPr>
        <w:tab/>
      </w:r>
      <w:r>
        <w:rPr>
          <w:rFonts w:hint="eastAsia"/>
        </w:rPr>
        <w:tab/>
      </w:r>
      <w:r>
        <w:rPr>
          <w:rFonts w:hint="eastAsia"/>
          <w:spacing w:val="160"/>
          <w:kern w:val="0"/>
          <w:fitText w:val="1600" w:id="-708134140"/>
        </w:rPr>
        <w:t>時価総</w:t>
      </w:r>
      <w:r>
        <w:rPr>
          <w:rFonts w:hint="eastAsia"/>
          <w:kern w:val="0"/>
          <w:fitText w:val="1600" w:id="-708134140"/>
        </w:rPr>
        <w:t>額</w:t>
      </w:r>
      <w:r>
        <w:rPr>
          <w:rFonts w:hint="eastAsia"/>
        </w:rPr>
        <w:t xml:space="preserve">　個別</w:t>
      </w:r>
      <w:r>
        <w:rPr>
          <w:rFonts w:hAnsi="ＭＳ 明朝" w:hint="eastAsia"/>
        </w:rPr>
        <w:t>有価</w:t>
      </w:r>
      <w:r>
        <w:rPr>
          <w:rFonts w:hint="eastAsia"/>
        </w:rPr>
        <w:t>証券についての時価に数量を乗じた価額をいう。</w:t>
      </w:r>
    </w:p>
    <w:p>
      <w:pPr>
        <w:pStyle w:val="J6"/>
        <w:ind w:left="2240" w:hanging="2081"/>
      </w:pPr>
      <w:r>
        <w:rPr>
          <w:rFonts w:hint="eastAsia"/>
        </w:rPr>
        <w:t>⒆</w:t>
      </w:r>
      <w:r>
        <w:rPr>
          <w:rFonts w:hint="eastAsia"/>
        </w:rPr>
        <w:tab/>
      </w:r>
      <w:r>
        <w:rPr>
          <w:rFonts w:hint="eastAsia"/>
        </w:rPr>
        <w:tab/>
      </w:r>
      <w:r>
        <w:rPr>
          <w:rFonts w:hint="eastAsia"/>
          <w:spacing w:val="280"/>
          <w:kern w:val="0"/>
        </w:rPr>
        <w:t>収益</w:t>
      </w:r>
      <w:r>
        <w:rPr>
          <w:rFonts w:hint="eastAsia"/>
          <w:kern w:val="0"/>
        </w:rPr>
        <w:t>金</w:t>
      </w:r>
      <w:r>
        <w:rPr>
          <w:rFonts w:hint="eastAsia"/>
        </w:rPr>
        <w:t xml:space="preserve">　任意の時点における個別</w:t>
      </w:r>
      <w:r>
        <w:rPr>
          <w:rFonts w:hAnsi="ＭＳ 明朝" w:hint="eastAsia"/>
        </w:rPr>
        <w:t>有価</w:t>
      </w:r>
      <w:r>
        <w:rPr>
          <w:rFonts w:hint="eastAsia"/>
        </w:rPr>
        <w:t>証券についてのすべての利子、配当金その他の分配金をいう。</w:t>
      </w:r>
    </w:p>
    <w:p>
      <w:pPr>
        <w:pStyle w:val="J6"/>
        <w:ind w:left="2240" w:hanging="2081"/>
      </w:pPr>
      <w:r>
        <w:rPr>
          <w:rFonts w:hint="eastAsia"/>
        </w:rPr>
        <w:t>⒇</w:t>
      </w:r>
      <w:r>
        <w:rPr>
          <w:rFonts w:hint="eastAsia"/>
        </w:rPr>
        <w:tab/>
      </w:r>
      <w:r>
        <w:rPr>
          <w:rFonts w:hint="eastAsia"/>
        </w:rPr>
        <w:tab/>
      </w:r>
      <w:r>
        <w:rPr>
          <w:rFonts w:hint="eastAsia"/>
          <w:spacing w:val="63"/>
          <w:kern w:val="0"/>
          <w:fitText w:val="1600" w:id="1119621888"/>
        </w:rPr>
        <w:t>収益金基準</w:t>
      </w:r>
      <w:r>
        <w:rPr>
          <w:rFonts w:hint="eastAsia"/>
          <w:spacing w:val="3"/>
          <w:kern w:val="0"/>
          <w:fitText w:val="1600" w:id="1119621888"/>
        </w:rPr>
        <w:t>日</w:t>
      </w:r>
      <w:r>
        <w:rPr>
          <w:rFonts w:hint="eastAsia"/>
        </w:rPr>
        <w:t xml:space="preserve">　①登録制度又は振替制度（その他有価証券の決済に係る制度を含む。）の適用を受ける有価証券につき、当該制度において当該有価証券の保有者が収益金の支払を受ける権利が確定する日が収益金支払日と異なる場合、当該権利の確定日をいい、②それ以外の場合、収益金支払日をいう。</w:t>
      </w:r>
    </w:p>
    <w:p>
      <w:pPr>
        <w:pStyle w:val="J6"/>
        <w:ind w:left="2240" w:hanging="2081"/>
      </w:pPr>
      <w:r>
        <w:rPr>
          <w:rFonts w:hint="eastAsia"/>
          <w:color w:val="000000"/>
          <w:spacing w:val="-16"/>
          <w:w w:val="75"/>
        </w:rPr>
        <w:t>(21)</w:t>
      </w:r>
      <w:r>
        <w:rPr>
          <w:color w:val="000000"/>
          <w:spacing w:val="-16"/>
          <w:w w:val="75"/>
        </w:rPr>
        <w:tab/>
      </w:r>
      <w:r>
        <w:rPr>
          <w:rFonts w:hint="eastAsia"/>
          <w:spacing w:val="73"/>
          <w:w w:val="91"/>
          <w:kern w:val="0"/>
          <w:fitText w:val="1600" w:id="-708134138"/>
        </w:rPr>
        <w:t>収益金支払</w:t>
      </w:r>
      <w:r>
        <w:rPr>
          <w:rFonts w:hint="eastAsia"/>
          <w:w w:val="91"/>
          <w:kern w:val="0"/>
          <w:fitText w:val="1600" w:id="-708134138"/>
        </w:rPr>
        <w:t>日</w:t>
      </w:r>
      <w:r>
        <w:rPr>
          <w:rFonts w:hint="eastAsia"/>
        </w:rPr>
        <w:t xml:space="preserve">　個別</w:t>
      </w:r>
      <w:r>
        <w:rPr>
          <w:rFonts w:hAnsi="ＭＳ 明朝" w:hint="eastAsia"/>
        </w:rPr>
        <w:t>有価</w:t>
      </w:r>
      <w:r>
        <w:rPr>
          <w:rFonts w:hint="eastAsia"/>
        </w:rPr>
        <w:t>証券に関し、当該</w:t>
      </w:r>
      <w:r>
        <w:rPr>
          <w:rFonts w:hAnsi="ＭＳ 明朝" w:hint="eastAsia"/>
        </w:rPr>
        <w:t>有価</w:t>
      </w:r>
      <w:r>
        <w:rPr>
          <w:rFonts w:hint="eastAsia"/>
        </w:rPr>
        <w:t>証券の収益金が支払われる日をいう。</w:t>
      </w:r>
    </w:p>
    <w:p>
      <w:pPr>
        <w:pStyle w:val="J6"/>
        <w:ind w:left="2240" w:hanging="2081"/>
      </w:pPr>
      <w:r>
        <w:rPr>
          <w:rFonts w:hint="eastAsia"/>
          <w:color w:val="000000"/>
          <w:spacing w:val="-16"/>
          <w:w w:val="75"/>
        </w:rPr>
        <w:t>(22)</w:t>
      </w:r>
      <w:r>
        <w:rPr>
          <w:rFonts w:hint="eastAsia"/>
        </w:rPr>
        <w:tab/>
      </w:r>
      <w:r>
        <w:rPr>
          <w:rFonts w:hint="eastAsia"/>
          <w:spacing w:val="160"/>
          <w:kern w:val="0"/>
          <w:fitText w:val="1600" w:id="-708134137"/>
        </w:rPr>
        <w:t>純与信</w:t>
      </w:r>
      <w:r>
        <w:rPr>
          <w:rFonts w:hint="eastAsia"/>
          <w:kern w:val="0"/>
          <w:fitText w:val="1600" w:id="-708134137"/>
        </w:rPr>
        <w:t>額</w:t>
      </w:r>
      <w:r>
        <w:rPr>
          <w:rFonts w:hint="eastAsia"/>
        </w:rPr>
        <w:t xml:space="preserve">　一方当事者の個別取引与信額の合計額から当該一方当事者に差し入れられた担保の額（担保金の場合、未払いの担保金利息を含む。担保証券の場合、その時価総額に担保掛目を乗じた額とする。本号において以下同じ。）を減じた額が、他方当事者の個別取引与信額の合計額から当該他方当事者に差し入れられた担保の額を減じた額を超過している場合、その超過額をいう。また、この場合、当該一方当事者が他方当事者に対して純与信額を有しているというものとする。</w:t>
      </w:r>
    </w:p>
    <w:p>
      <w:pPr>
        <w:pStyle w:val="J6"/>
        <w:ind w:left="2240" w:firstLine="0"/>
      </w:pPr>
      <w:r>
        <w:rPr>
          <w:rFonts w:hint="eastAsia"/>
        </w:rPr>
        <w:t>なお、各個別現先取引につき、①そのスタート取引受渡日における純与信額の計算については、当該個別現先取引に係る取引対象債券等の引渡しが行われたものとみなして計算された個別取引与信額を算入するものとし、②そのエンド取引受渡日における純与信額の計算については、当該個別現先取引に係る個別取引与信額を算入しないものとする。</w:t>
      </w:r>
    </w:p>
    <w:p>
      <w:pPr>
        <w:pStyle w:val="J6"/>
        <w:ind w:left="2240" w:hanging="2081"/>
      </w:pPr>
      <w:r>
        <w:rPr>
          <w:rFonts w:hint="eastAsia"/>
          <w:color w:val="000000"/>
          <w:spacing w:val="-16"/>
          <w:w w:val="75"/>
        </w:rPr>
        <w:lastRenderedPageBreak/>
        <w:t>(23)</w:t>
      </w:r>
      <w:r>
        <w:rPr>
          <w:rFonts w:hint="eastAsia"/>
        </w:rPr>
        <w:tab/>
      </w:r>
      <w:r>
        <w:rPr>
          <w:rFonts w:hint="eastAsia"/>
          <w:spacing w:val="52"/>
          <w:w w:val="68"/>
          <w:kern w:val="0"/>
          <w:fitText w:val="1600" w:id="-708134136"/>
        </w:rPr>
        <w:t>新取引対象債券</w:t>
      </w:r>
      <w:r>
        <w:rPr>
          <w:rFonts w:hint="eastAsia"/>
          <w:spacing w:val="1"/>
          <w:w w:val="68"/>
          <w:kern w:val="0"/>
          <w:fitText w:val="1600" w:id="-708134136"/>
        </w:rPr>
        <w:t>等</w:t>
      </w:r>
      <w:r>
        <w:rPr>
          <w:rFonts w:hint="eastAsia"/>
        </w:rPr>
        <w:t xml:space="preserve">　第10条に定める新取引対象債券等をいう。</w:t>
      </w:r>
    </w:p>
    <w:p>
      <w:pPr>
        <w:pStyle w:val="J6"/>
        <w:ind w:left="2240" w:hanging="2081"/>
      </w:pPr>
      <w:r>
        <w:rPr>
          <w:rFonts w:hint="eastAsia"/>
          <w:color w:val="000000"/>
          <w:spacing w:val="-16"/>
          <w:w w:val="75"/>
        </w:rPr>
        <w:t>(24)</w:t>
      </w:r>
      <w:r>
        <w:rPr>
          <w:rFonts w:hint="eastAsia"/>
        </w:rPr>
        <w:tab/>
      </w:r>
      <w:r>
        <w:rPr>
          <w:rFonts w:hint="eastAsia"/>
          <w:spacing w:val="73"/>
          <w:w w:val="91"/>
          <w:kern w:val="0"/>
          <w:fitText w:val="1600" w:id="-708134134"/>
        </w:rPr>
        <w:t>スタート取</w:t>
      </w:r>
      <w:r>
        <w:rPr>
          <w:rFonts w:hint="eastAsia"/>
          <w:w w:val="91"/>
          <w:kern w:val="0"/>
          <w:fitText w:val="1600" w:id="-708134134"/>
        </w:rPr>
        <w:t>引</w:t>
      </w:r>
      <w:r>
        <w:rPr>
          <w:rFonts w:hint="eastAsia"/>
        </w:rPr>
        <w:t xml:space="preserve">　個別現先取引において売手が買手に対し取引対象債券等を売り付ける取引をいう。</w:t>
      </w:r>
    </w:p>
    <w:p>
      <w:pPr>
        <w:pStyle w:val="J6"/>
        <w:ind w:left="2240" w:hanging="2081"/>
      </w:pPr>
      <w:r>
        <w:rPr>
          <w:rFonts w:hint="eastAsia"/>
          <w:color w:val="000000"/>
          <w:spacing w:val="-16"/>
          <w:w w:val="75"/>
        </w:rPr>
        <w:t>(25)</w:t>
      </w:r>
      <w:r>
        <w:rPr>
          <w:rFonts w:hint="eastAsia"/>
        </w:rPr>
        <w:tab/>
      </w:r>
      <w:r>
        <w:rPr>
          <w:rFonts w:hint="eastAsia"/>
          <w:spacing w:val="10"/>
          <w:kern w:val="0"/>
          <w:fitText w:val="1600" w:id="-708134133"/>
        </w:rPr>
        <w:t>スタート取引受渡</w:t>
      </w:r>
      <w:r>
        <w:rPr>
          <w:rFonts w:hint="eastAsia"/>
          <w:kern w:val="0"/>
          <w:fitText w:val="1600" w:id="-708134133"/>
        </w:rPr>
        <w:t>日</w:t>
      </w:r>
      <w:r>
        <w:rPr>
          <w:rFonts w:hint="eastAsia"/>
        </w:rPr>
        <w:t xml:space="preserve">　スタート取引の受渡日として、個別現先取引で定める日をいう。</w:t>
      </w:r>
    </w:p>
    <w:p>
      <w:pPr>
        <w:pStyle w:val="J6"/>
        <w:ind w:left="2240" w:hanging="2081"/>
      </w:pPr>
      <w:r>
        <w:rPr>
          <w:rFonts w:hint="eastAsia"/>
          <w:color w:val="000000"/>
          <w:spacing w:val="-16"/>
          <w:w w:val="75"/>
        </w:rPr>
        <w:t>(26)</w:t>
      </w:r>
      <w:r>
        <w:rPr>
          <w:rFonts w:hint="eastAsia"/>
        </w:rPr>
        <w:tab/>
      </w:r>
      <w:r>
        <w:rPr>
          <w:rFonts w:hint="eastAsia"/>
          <w:spacing w:val="52"/>
          <w:w w:val="68"/>
          <w:kern w:val="0"/>
          <w:fitText w:val="1600" w:id="-708134132"/>
        </w:rPr>
        <w:t>スタート売買金</w:t>
      </w:r>
      <w:r>
        <w:rPr>
          <w:rFonts w:hint="eastAsia"/>
          <w:spacing w:val="1"/>
          <w:w w:val="68"/>
          <w:kern w:val="0"/>
          <w:fitText w:val="1600" w:id="-708134132"/>
        </w:rPr>
        <w:t>額</w:t>
      </w:r>
      <w:r>
        <w:rPr>
          <w:rFonts w:hint="eastAsia"/>
        </w:rPr>
        <w:t xml:space="preserve">　スタート取引の受渡金額として、個別現先取引につき各別紙に定める計算方法に従い算出される金額をいう。</w:t>
      </w:r>
    </w:p>
    <w:p>
      <w:pPr>
        <w:pStyle w:val="J6"/>
        <w:ind w:left="2240" w:hanging="2081"/>
      </w:pPr>
      <w:r>
        <w:rPr>
          <w:rFonts w:hint="eastAsia"/>
          <w:color w:val="000000"/>
          <w:spacing w:val="-16"/>
          <w:w w:val="75"/>
        </w:rPr>
        <w:t>(27)</w:t>
      </w:r>
      <w:r>
        <w:rPr>
          <w:rFonts w:hint="eastAsia"/>
        </w:rPr>
        <w:tab/>
      </w:r>
      <w:r>
        <w:rPr>
          <w:rFonts w:hint="eastAsia"/>
          <w:spacing w:val="52"/>
          <w:w w:val="68"/>
          <w:kern w:val="0"/>
          <w:fitText w:val="1600" w:id="-708134131"/>
        </w:rPr>
        <w:t>対顧客電信買相</w:t>
      </w:r>
      <w:r>
        <w:rPr>
          <w:rFonts w:hint="eastAsia"/>
          <w:spacing w:val="1"/>
          <w:w w:val="68"/>
          <w:kern w:val="0"/>
          <w:fitText w:val="1600" w:id="-708134131"/>
        </w:rPr>
        <w:t>場</w:t>
      </w:r>
      <w:r>
        <w:rPr>
          <w:rFonts w:hint="eastAsia"/>
        </w:rPr>
        <w:t xml:space="preserve">　当事者間で合意した対顧客電信買相場をいう。</w:t>
      </w:r>
    </w:p>
    <w:p>
      <w:pPr>
        <w:pStyle w:val="J6"/>
        <w:ind w:left="2240" w:hanging="2081"/>
      </w:pPr>
      <w:r>
        <w:rPr>
          <w:rFonts w:hint="eastAsia"/>
          <w:color w:val="000000"/>
          <w:spacing w:val="-16"/>
          <w:w w:val="75"/>
        </w:rPr>
        <w:t>(28)</w:t>
      </w:r>
      <w:r>
        <w:rPr>
          <w:rFonts w:hint="eastAsia"/>
        </w:rPr>
        <w:tab/>
      </w:r>
      <w:r>
        <w:rPr>
          <w:rFonts w:hint="eastAsia"/>
          <w:spacing w:val="640"/>
          <w:kern w:val="0"/>
          <w:fitText w:val="1600" w:id="-708134130"/>
        </w:rPr>
        <w:t>担</w:t>
      </w:r>
      <w:r>
        <w:rPr>
          <w:rFonts w:hint="eastAsia"/>
          <w:kern w:val="0"/>
          <w:fitText w:val="1600" w:id="-708134130"/>
        </w:rPr>
        <w:t>保</w:t>
      </w:r>
      <w:r>
        <w:rPr>
          <w:rFonts w:hint="eastAsia"/>
        </w:rPr>
        <w:t xml:space="preserve">　担保金及び担保証券をいう。</w:t>
      </w:r>
    </w:p>
    <w:p>
      <w:pPr>
        <w:pStyle w:val="J6"/>
        <w:ind w:left="2240" w:hanging="2081"/>
      </w:pPr>
      <w:r>
        <w:rPr>
          <w:rFonts w:hint="eastAsia"/>
          <w:color w:val="000000"/>
          <w:spacing w:val="-16"/>
          <w:w w:val="75"/>
        </w:rPr>
        <w:t>(29)</w:t>
      </w:r>
      <w:r>
        <w:rPr>
          <w:rFonts w:hint="eastAsia"/>
        </w:rPr>
        <w:tab/>
      </w:r>
      <w:r>
        <w:rPr>
          <w:rFonts w:hint="eastAsia"/>
          <w:spacing w:val="160"/>
          <w:kern w:val="0"/>
          <w:fitText w:val="1600" w:id="-708134129"/>
        </w:rPr>
        <w:t>担保掛</w:t>
      </w:r>
      <w:r>
        <w:rPr>
          <w:rFonts w:hint="eastAsia"/>
          <w:kern w:val="0"/>
          <w:fitText w:val="1600" w:id="-708134129"/>
        </w:rPr>
        <w:t>目</w:t>
      </w:r>
      <w:r>
        <w:rPr>
          <w:rFonts w:hint="eastAsia"/>
        </w:rPr>
        <w:t xml:space="preserve">　担保証券の価値の算出のために用いられる一定の料率として、各別紙において定めるものをいう。</w:t>
      </w:r>
    </w:p>
    <w:p>
      <w:pPr>
        <w:pStyle w:val="J6"/>
        <w:ind w:left="2240" w:hanging="2081"/>
      </w:pPr>
      <w:r>
        <w:rPr>
          <w:rFonts w:hint="eastAsia"/>
          <w:color w:val="000000"/>
          <w:spacing w:val="-16"/>
          <w:w w:val="75"/>
        </w:rPr>
        <w:t>(30)</w:t>
      </w:r>
      <w:r>
        <w:rPr>
          <w:rFonts w:hint="eastAsia"/>
        </w:rPr>
        <w:tab/>
      </w:r>
      <w:r>
        <w:rPr>
          <w:rFonts w:hint="eastAsia"/>
          <w:spacing w:val="280"/>
          <w:kern w:val="0"/>
          <w:fitText w:val="1600" w:id="-708134128"/>
        </w:rPr>
        <w:t>担保</w:t>
      </w:r>
      <w:r>
        <w:rPr>
          <w:rFonts w:hint="eastAsia"/>
          <w:kern w:val="0"/>
          <w:fitText w:val="1600" w:id="-708134128"/>
        </w:rPr>
        <w:t>金</w:t>
      </w:r>
      <w:r>
        <w:rPr>
          <w:rFonts w:hint="eastAsia"/>
        </w:rPr>
        <w:t xml:space="preserve">　各別紙に定める方法に従って買手又は売手に差し入れられる金銭をいう。</w:t>
      </w:r>
    </w:p>
    <w:p>
      <w:pPr>
        <w:pStyle w:val="J6"/>
        <w:ind w:left="2240" w:hanging="2081"/>
      </w:pPr>
      <w:r>
        <w:rPr>
          <w:rFonts w:hint="eastAsia"/>
          <w:color w:val="000000"/>
          <w:spacing w:val="-16"/>
          <w:w w:val="75"/>
        </w:rPr>
        <w:t>(31)</w:t>
      </w:r>
      <w:r>
        <w:rPr>
          <w:rFonts w:hint="eastAsia"/>
        </w:rPr>
        <w:tab/>
      </w:r>
      <w:r>
        <w:rPr>
          <w:rFonts w:hint="eastAsia"/>
          <w:spacing w:val="100"/>
          <w:kern w:val="0"/>
          <w:fitText w:val="1600" w:id="-708134144"/>
        </w:rPr>
        <w:t>担保金利</w:t>
      </w:r>
      <w:r>
        <w:rPr>
          <w:rFonts w:hint="eastAsia"/>
          <w:kern w:val="0"/>
          <w:fitText w:val="1600" w:id="-708134144"/>
        </w:rPr>
        <w:t>息</w:t>
      </w:r>
      <w:r>
        <w:rPr>
          <w:rFonts w:hint="eastAsia"/>
        </w:rPr>
        <w:t xml:space="preserve">　担保金に付される利息をいう。</w:t>
      </w:r>
    </w:p>
    <w:p>
      <w:pPr>
        <w:pStyle w:val="J6"/>
        <w:ind w:left="2240" w:hanging="2081"/>
      </w:pPr>
      <w:r>
        <w:rPr>
          <w:rFonts w:hint="eastAsia"/>
          <w:color w:val="000000"/>
          <w:spacing w:val="-16"/>
          <w:w w:val="75"/>
        </w:rPr>
        <w:t>(32)</w:t>
      </w:r>
      <w:r>
        <w:rPr>
          <w:rFonts w:hint="eastAsia"/>
        </w:rPr>
        <w:tab/>
      </w:r>
      <w:r>
        <w:rPr>
          <w:rFonts w:hint="eastAsia"/>
          <w:spacing w:val="100"/>
          <w:kern w:val="0"/>
          <w:fitText w:val="1600" w:id="-708134143"/>
        </w:rPr>
        <w:t>担保金利</w:t>
      </w:r>
      <w:r>
        <w:rPr>
          <w:rFonts w:hint="eastAsia"/>
          <w:kern w:val="0"/>
          <w:fitText w:val="1600" w:id="-708134143"/>
        </w:rPr>
        <w:t>率</w:t>
      </w:r>
      <w:r>
        <w:rPr>
          <w:rFonts w:hint="eastAsia"/>
        </w:rPr>
        <w:t xml:space="preserve">　担保金利息算定の基準となる料率として、各別紙において定めるものをいう。</w:t>
      </w:r>
    </w:p>
    <w:p>
      <w:pPr>
        <w:pStyle w:val="J6"/>
        <w:ind w:left="2240" w:hanging="2081"/>
      </w:pPr>
      <w:r>
        <w:rPr>
          <w:rFonts w:hint="eastAsia"/>
          <w:color w:val="000000"/>
          <w:spacing w:val="-16"/>
          <w:w w:val="75"/>
        </w:rPr>
        <w:t>(33)</w:t>
      </w:r>
      <w:r>
        <w:rPr>
          <w:rFonts w:hint="eastAsia"/>
        </w:rPr>
        <w:tab/>
      </w:r>
      <w:r>
        <w:rPr>
          <w:rFonts w:hint="eastAsia"/>
          <w:spacing w:val="160"/>
          <w:kern w:val="0"/>
          <w:fitText w:val="1600" w:id="-708134142"/>
        </w:rPr>
        <w:t>担保証</w:t>
      </w:r>
      <w:r>
        <w:rPr>
          <w:rFonts w:hint="eastAsia"/>
          <w:kern w:val="0"/>
          <w:fitText w:val="1600" w:id="-708134142"/>
        </w:rPr>
        <w:t>券</w:t>
      </w:r>
      <w:r>
        <w:rPr>
          <w:rFonts w:hint="eastAsia"/>
        </w:rPr>
        <w:t xml:space="preserve">　担保の移転に関し、担保金に代わるものとして各別紙において定めた</w:t>
      </w:r>
      <w:r>
        <w:rPr>
          <w:rFonts w:hAnsi="ＭＳ 明朝" w:hint="eastAsia"/>
        </w:rPr>
        <w:t>有価</w:t>
      </w:r>
      <w:r>
        <w:rPr>
          <w:rFonts w:hint="eastAsia"/>
        </w:rPr>
        <w:t>証券をいう。</w:t>
      </w:r>
    </w:p>
    <w:p>
      <w:pPr>
        <w:pStyle w:val="J6"/>
        <w:ind w:left="2240" w:hanging="2081"/>
      </w:pPr>
      <w:r>
        <w:rPr>
          <w:rFonts w:hint="eastAsia"/>
          <w:color w:val="000000"/>
          <w:spacing w:val="-16"/>
          <w:w w:val="75"/>
        </w:rPr>
        <w:t>(34)</w:t>
      </w:r>
      <w:r>
        <w:rPr>
          <w:rFonts w:hint="eastAsia"/>
        </w:rPr>
        <w:tab/>
      </w:r>
      <w:r>
        <w:rPr>
          <w:rFonts w:hint="eastAsia"/>
          <w:spacing w:val="100"/>
          <w:kern w:val="0"/>
          <w:fitText w:val="1600" w:id="-708134141"/>
        </w:rPr>
        <w:t>担保の移</w:t>
      </w:r>
      <w:r>
        <w:rPr>
          <w:rFonts w:hint="eastAsia"/>
          <w:kern w:val="0"/>
          <w:fitText w:val="1600" w:id="-708134141"/>
        </w:rPr>
        <w:t>転</w:t>
      </w:r>
      <w:r>
        <w:rPr>
          <w:rFonts w:hint="eastAsia"/>
        </w:rPr>
        <w:t xml:space="preserve">　担保金の差入れ、返戻若しくはその組合せ又は担保証券若しくは同種、同量の担保証券の差入れ、返戻若しくはその組合せをいう。</w:t>
      </w:r>
    </w:p>
    <w:p>
      <w:pPr>
        <w:pStyle w:val="J6"/>
        <w:ind w:left="2240" w:hanging="2081"/>
      </w:pPr>
      <w:r>
        <w:rPr>
          <w:rFonts w:hint="eastAsia"/>
          <w:color w:val="000000"/>
          <w:spacing w:val="-16"/>
          <w:w w:val="75"/>
        </w:rPr>
        <w:t>(35)</w:t>
      </w:r>
      <w:r>
        <w:rPr>
          <w:rFonts w:hint="eastAsia"/>
        </w:rPr>
        <w:tab/>
      </w:r>
      <w:r>
        <w:rPr>
          <w:rFonts w:hint="eastAsia"/>
          <w:spacing w:val="100"/>
          <w:kern w:val="0"/>
          <w:fitText w:val="1600" w:id="-708134140"/>
        </w:rPr>
        <w:t>同種、同</w:t>
      </w:r>
      <w:r>
        <w:rPr>
          <w:rFonts w:hint="eastAsia"/>
          <w:kern w:val="0"/>
          <w:fitText w:val="1600" w:id="-708134140"/>
        </w:rPr>
        <w:t>量</w:t>
      </w:r>
      <w:r>
        <w:rPr>
          <w:rFonts w:hint="eastAsia"/>
        </w:rPr>
        <w:t xml:space="preserve">　個別</w:t>
      </w:r>
      <w:r>
        <w:rPr>
          <w:rFonts w:hAnsi="ＭＳ 明朝" w:hint="eastAsia"/>
        </w:rPr>
        <w:t>有価</w:t>
      </w:r>
      <w:r>
        <w:rPr>
          <w:rFonts w:hint="eastAsia"/>
        </w:rPr>
        <w:t>証券が、他の</w:t>
      </w:r>
      <w:r>
        <w:rPr>
          <w:rFonts w:hAnsi="ＭＳ 明朝" w:hint="eastAsia"/>
        </w:rPr>
        <w:t>有価</w:t>
      </w:r>
      <w:r>
        <w:rPr>
          <w:rFonts w:hint="eastAsia"/>
        </w:rPr>
        <w:t>証券と①同一の発行体かつ同一の発行回号であり、②（別途定めのない限り）同一の種類、券面額及び数量であり、③同一の課税条件である場合をいう。</w:t>
      </w:r>
    </w:p>
    <w:p>
      <w:pPr>
        <w:pStyle w:val="J6"/>
        <w:ind w:left="2240" w:hanging="2081"/>
      </w:pPr>
      <w:r>
        <w:rPr>
          <w:rFonts w:hint="eastAsia"/>
          <w:color w:val="000000"/>
          <w:spacing w:val="-16"/>
          <w:w w:val="75"/>
        </w:rPr>
        <w:t>(36)</w:t>
      </w:r>
      <w:r>
        <w:rPr>
          <w:rFonts w:hint="eastAsia"/>
        </w:rPr>
        <w:tab/>
      </w:r>
      <w:r>
        <w:rPr>
          <w:rFonts w:hint="eastAsia"/>
          <w:spacing w:val="10"/>
          <w:kern w:val="0"/>
          <w:fitText w:val="1600" w:id="-708134139"/>
        </w:rPr>
        <w:t>同種、同量の債券</w:t>
      </w:r>
      <w:r>
        <w:rPr>
          <w:rFonts w:hint="eastAsia"/>
          <w:kern w:val="0"/>
          <w:fitText w:val="1600" w:id="-708134139"/>
        </w:rPr>
        <w:t>等</w:t>
      </w:r>
      <w:r>
        <w:rPr>
          <w:rFonts w:hint="eastAsia"/>
        </w:rPr>
        <w:t xml:space="preserve">　個別現先取引における取引対象債券等と同種、同量の債券等をいう。また、当該取引対象債券等が償還された場合には、その償還金額と同額の金銭をいう。</w:t>
      </w:r>
    </w:p>
    <w:p>
      <w:pPr>
        <w:pStyle w:val="J6"/>
        <w:ind w:left="2240" w:hanging="2081"/>
      </w:pPr>
      <w:r>
        <w:rPr>
          <w:rFonts w:hint="eastAsia"/>
          <w:color w:val="000000"/>
          <w:spacing w:val="-16"/>
          <w:w w:val="75"/>
        </w:rPr>
        <w:t>(37)</w:t>
      </w:r>
      <w:r>
        <w:rPr>
          <w:rFonts w:hint="eastAsia"/>
        </w:rPr>
        <w:tab/>
      </w:r>
      <w:r>
        <w:rPr>
          <w:rFonts w:hint="eastAsia"/>
          <w:spacing w:val="40"/>
          <w:w w:val="55"/>
          <w:kern w:val="0"/>
          <w:fitText w:val="1600" w:id="-708134138"/>
        </w:rPr>
        <w:t>同種、同量の担保証</w:t>
      </w:r>
      <w:r>
        <w:rPr>
          <w:rFonts w:hint="eastAsia"/>
          <w:spacing w:val="2"/>
          <w:w w:val="55"/>
          <w:kern w:val="0"/>
          <w:fitText w:val="1600" w:id="-708134138"/>
        </w:rPr>
        <w:t>券</w:t>
      </w:r>
      <w:r>
        <w:rPr>
          <w:rFonts w:hint="eastAsia"/>
        </w:rPr>
        <w:t xml:space="preserve">　担保証券として移転された</w:t>
      </w:r>
      <w:r>
        <w:rPr>
          <w:rFonts w:hAnsi="ＭＳ 明朝" w:hint="eastAsia"/>
        </w:rPr>
        <w:t>有価</w:t>
      </w:r>
      <w:r>
        <w:rPr>
          <w:rFonts w:hint="eastAsia"/>
        </w:rPr>
        <w:t>証券と同種、同量の</w:t>
      </w:r>
      <w:r>
        <w:rPr>
          <w:rFonts w:hAnsi="ＭＳ 明朝" w:hint="eastAsia"/>
        </w:rPr>
        <w:t>有価</w:t>
      </w:r>
      <w:r>
        <w:rPr>
          <w:rFonts w:hint="eastAsia"/>
        </w:rPr>
        <w:t>証券をいう。</w:t>
      </w:r>
    </w:p>
    <w:p>
      <w:pPr>
        <w:pStyle w:val="J6"/>
        <w:ind w:left="2240" w:hanging="2081"/>
      </w:pPr>
      <w:r>
        <w:rPr>
          <w:rFonts w:hint="eastAsia"/>
          <w:color w:val="000000"/>
          <w:spacing w:val="-16"/>
          <w:w w:val="75"/>
        </w:rPr>
        <w:t>(38)</w:t>
      </w:r>
      <w:r>
        <w:rPr>
          <w:rFonts w:hint="eastAsia"/>
        </w:rPr>
        <w:tab/>
      </w:r>
      <w:r>
        <w:rPr>
          <w:rFonts w:hint="eastAsia"/>
          <w:spacing w:val="160"/>
          <w:kern w:val="0"/>
          <w:fitText w:val="1600" w:id="-708134137"/>
        </w:rPr>
        <w:t>取引期</w:t>
      </w:r>
      <w:r>
        <w:rPr>
          <w:rFonts w:hint="eastAsia"/>
          <w:kern w:val="0"/>
          <w:fitText w:val="1600" w:id="-708134137"/>
        </w:rPr>
        <w:t>間</w:t>
      </w:r>
      <w:r>
        <w:rPr>
          <w:rFonts w:hint="eastAsia"/>
        </w:rPr>
        <w:t xml:space="preserve">　スタート取引受渡日（当日を含む。）からエンド取引受渡日（当日を含む。）までの期間をいう。</w:t>
      </w:r>
    </w:p>
    <w:p>
      <w:pPr>
        <w:pStyle w:val="J6"/>
        <w:ind w:left="2240" w:hanging="2081"/>
      </w:pPr>
      <w:r>
        <w:rPr>
          <w:rFonts w:hint="eastAsia"/>
          <w:color w:val="000000"/>
          <w:spacing w:val="-16"/>
          <w:w w:val="75"/>
        </w:rPr>
        <w:t>(39)</w:t>
      </w:r>
      <w:r>
        <w:rPr>
          <w:rFonts w:hint="eastAsia"/>
        </w:rPr>
        <w:tab/>
      </w:r>
      <w:r>
        <w:rPr>
          <w:rFonts w:hint="eastAsia"/>
          <w:spacing w:val="160"/>
          <w:kern w:val="0"/>
          <w:fitText w:val="1600" w:id="-708134136"/>
        </w:rPr>
        <w:t>取引数</w:t>
      </w:r>
      <w:r>
        <w:rPr>
          <w:rFonts w:hint="eastAsia"/>
          <w:kern w:val="0"/>
          <w:fitText w:val="1600" w:id="-708134136"/>
        </w:rPr>
        <w:t>量</w:t>
      </w:r>
      <w:r>
        <w:rPr>
          <w:rFonts w:hint="eastAsia"/>
        </w:rPr>
        <w:t xml:space="preserve">　取引対象債券等の額面総額として、個別現先取引で定めるものをいう。</w:t>
      </w:r>
    </w:p>
    <w:p>
      <w:pPr>
        <w:pStyle w:val="J6"/>
        <w:ind w:left="2240" w:hanging="2081"/>
      </w:pPr>
      <w:r>
        <w:rPr>
          <w:rFonts w:hint="eastAsia"/>
          <w:color w:val="000000"/>
          <w:spacing w:val="-16"/>
          <w:w w:val="75"/>
        </w:rPr>
        <w:t>(40)</w:t>
      </w:r>
      <w:r>
        <w:rPr>
          <w:rFonts w:hint="eastAsia"/>
        </w:rPr>
        <w:tab/>
      </w:r>
      <w:r>
        <w:rPr>
          <w:rFonts w:hint="eastAsia"/>
          <w:spacing w:val="61"/>
          <w:w w:val="78"/>
          <w:kern w:val="0"/>
          <w:fitText w:val="1600" w:id="-708134135"/>
        </w:rPr>
        <w:t>取引対象債券</w:t>
      </w:r>
      <w:r>
        <w:rPr>
          <w:rFonts w:hint="eastAsia"/>
          <w:spacing w:val="1"/>
          <w:w w:val="78"/>
          <w:kern w:val="0"/>
          <w:fitText w:val="1600" w:id="-708134135"/>
        </w:rPr>
        <w:t>等</w:t>
      </w:r>
      <w:r>
        <w:rPr>
          <w:rFonts w:hint="eastAsia"/>
        </w:rPr>
        <w:t xml:space="preserve">　スタート取引において売買の対象となった債券等又は債券等の差替えにより新たに交付された債券等をいう。</w:t>
      </w:r>
    </w:p>
    <w:p>
      <w:pPr>
        <w:pStyle w:val="J6"/>
        <w:ind w:left="2240" w:hanging="2081"/>
      </w:pPr>
      <w:r>
        <w:rPr>
          <w:rFonts w:hint="eastAsia"/>
          <w:color w:val="000000"/>
          <w:spacing w:val="-16"/>
          <w:w w:val="75"/>
        </w:rPr>
        <w:t>(41)</w:t>
      </w:r>
      <w:r>
        <w:rPr>
          <w:rFonts w:hint="eastAsia"/>
        </w:rPr>
        <w:tab/>
      </w:r>
      <w:r>
        <w:rPr>
          <w:rFonts w:hint="eastAsia"/>
          <w:spacing w:val="100"/>
          <w:kern w:val="0"/>
          <w:fitText w:val="1600" w:id="-708134134"/>
        </w:rPr>
        <w:t>取引約定</w:t>
      </w:r>
      <w:r>
        <w:rPr>
          <w:rFonts w:hint="eastAsia"/>
          <w:kern w:val="0"/>
          <w:fitText w:val="1600" w:id="-708134134"/>
        </w:rPr>
        <w:t>日</w:t>
      </w:r>
      <w:r>
        <w:rPr>
          <w:rFonts w:hint="eastAsia"/>
        </w:rPr>
        <w:t xml:space="preserve">　第３条第１項に基づき個別現先取引が成立した日をいう。</w:t>
      </w:r>
    </w:p>
    <w:p>
      <w:pPr>
        <w:pStyle w:val="J6"/>
        <w:ind w:left="2240" w:hanging="2081"/>
      </w:pPr>
      <w:r>
        <w:rPr>
          <w:rFonts w:hint="eastAsia"/>
          <w:color w:val="000000"/>
          <w:spacing w:val="-16"/>
          <w:w w:val="75"/>
        </w:rPr>
        <w:t>(42)</w:t>
      </w:r>
      <w:r>
        <w:rPr>
          <w:rFonts w:hint="eastAsia"/>
        </w:rPr>
        <w:tab/>
      </w:r>
      <w:r>
        <w:rPr>
          <w:rFonts w:hint="eastAsia"/>
          <w:spacing w:val="160"/>
          <w:kern w:val="0"/>
          <w:fitText w:val="1600" w:id="-708134133"/>
        </w:rPr>
        <w:t>売買金</w:t>
      </w:r>
      <w:r>
        <w:rPr>
          <w:rFonts w:hint="eastAsia"/>
          <w:kern w:val="0"/>
          <w:fitText w:val="1600" w:id="-708134133"/>
        </w:rPr>
        <w:t>額</w:t>
      </w:r>
      <w:r>
        <w:rPr>
          <w:rFonts w:hint="eastAsia"/>
        </w:rPr>
        <w:t xml:space="preserve">　債券等についての売買単価に数量を乗じた価額をいう。</w:t>
      </w:r>
    </w:p>
    <w:p>
      <w:pPr>
        <w:pStyle w:val="J6"/>
        <w:ind w:left="2240" w:hanging="2081"/>
      </w:pPr>
      <w:r>
        <w:rPr>
          <w:rFonts w:hint="eastAsia"/>
          <w:color w:val="000000"/>
          <w:spacing w:val="-16"/>
          <w:w w:val="75"/>
        </w:rPr>
        <w:t>(43)</w:t>
      </w:r>
      <w:r>
        <w:rPr>
          <w:rFonts w:hint="eastAsia"/>
        </w:rPr>
        <w:tab/>
      </w:r>
      <w:r>
        <w:rPr>
          <w:rFonts w:hint="eastAsia"/>
          <w:spacing w:val="52"/>
          <w:w w:val="68"/>
          <w:kern w:val="0"/>
          <w:fitText w:val="1600" w:id="-708134132"/>
        </w:rPr>
        <w:t>売買金額算出比</w:t>
      </w:r>
      <w:r>
        <w:rPr>
          <w:rFonts w:hint="eastAsia"/>
          <w:spacing w:val="1"/>
          <w:w w:val="68"/>
          <w:kern w:val="0"/>
          <w:fitText w:val="1600" w:id="-708134132"/>
        </w:rPr>
        <w:t>率</w:t>
      </w:r>
      <w:r>
        <w:rPr>
          <w:rFonts w:hint="eastAsia"/>
        </w:rPr>
        <w:t xml:space="preserve">　個別現先取引において、取引成立時点における取引対象債券等の時価をスタート売買単価で除し、これにより算出された比率から１を減じた比率であって、各別紙において定めるものをいう。</w:t>
      </w:r>
    </w:p>
    <w:p>
      <w:pPr>
        <w:pStyle w:val="J6"/>
        <w:ind w:left="2240" w:hanging="2081"/>
      </w:pPr>
      <w:r>
        <w:rPr>
          <w:rFonts w:hint="eastAsia"/>
          <w:color w:val="000000"/>
          <w:spacing w:val="-16"/>
          <w:w w:val="75"/>
        </w:rPr>
        <w:t>(44)</w:t>
      </w:r>
      <w:r>
        <w:rPr>
          <w:rFonts w:hint="eastAsia"/>
        </w:rPr>
        <w:tab/>
      </w:r>
      <w:r>
        <w:rPr>
          <w:rFonts w:hint="eastAsia"/>
          <w:spacing w:val="160"/>
          <w:kern w:val="0"/>
          <w:fitText w:val="1600" w:id="-708134131"/>
        </w:rPr>
        <w:t>売買単</w:t>
      </w:r>
      <w:r>
        <w:rPr>
          <w:rFonts w:hint="eastAsia"/>
          <w:kern w:val="0"/>
          <w:fitText w:val="1600" w:id="-708134131"/>
        </w:rPr>
        <w:t>価</w:t>
      </w:r>
      <w:r>
        <w:rPr>
          <w:rFonts w:hint="eastAsia"/>
        </w:rPr>
        <w:t xml:space="preserve">　債券等についての経過利子を含む額面100％当たりの価額割合をいう。</w:t>
      </w:r>
    </w:p>
    <w:p>
      <w:pPr>
        <w:pStyle w:val="J6"/>
        <w:ind w:left="2240" w:hanging="2081"/>
      </w:pPr>
      <w:r>
        <w:rPr>
          <w:rFonts w:hint="eastAsia"/>
          <w:color w:val="000000"/>
          <w:spacing w:val="-16"/>
          <w:w w:val="75"/>
        </w:rPr>
        <w:t>(45)</w:t>
      </w:r>
      <w:r>
        <w:rPr>
          <w:rFonts w:hint="eastAsia"/>
        </w:rPr>
        <w:tab/>
      </w:r>
      <w:r>
        <w:rPr>
          <w:rFonts w:hint="eastAsia"/>
          <w:spacing w:val="10"/>
          <w:kern w:val="0"/>
          <w:fitText w:val="1600" w:id="1007937024"/>
        </w:rPr>
        <w:t>非債務不履行当事</w:t>
      </w:r>
      <w:r>
        <w:rPr>
          <w:rFonts w:hint="eastAsia"/>
          <w:kern w:val="0"/>
          <w:fitText w:val="1600" w:id="1007937024"/>
        </w:rPr>
        <w:t>者</w:t>
      </w:r>
      <w:r>
        <w:rPr>
          <w:rFonts w:hint="eastAsia"/>
        </w:rPr>
        <w:t xml:space="preserve">　第</w:t>
      </w:r>
      <w:r>
        <w:t>11</w:t>
      </w:r>
      <w:r>
        <w:rPr>
          <w:rFonts w:hint="eastAsia"/>
        </w:rPr>
        <w:t>条第１項に定める当事者をいう。</w:t>
      </w:r>
    </w:p>
    <w:p>
      <w:pPr>
        <w:pStyle w:val="J6"/>
        <w:ind w:left="2240" w:hanging="2081"/>
      </w:pPr>
      <w:r>
        <w:rPr>
          <w:rFonts w:hint="eastAsia"/>
          <w:color w:val="000000"/>
          <w:spacing w:val="-16"/>
          <w:w w:val="75"/>
        </w:rPr>
        <w:t>(46)</w:t>
      </w:r>
      <w:r>
        <w:rPr>
          <w:rFonts w:hint="eastAsia"/>
        </w:rPr>
        <w:tab/>
      </w:r>
      <w:r>
        <w:rPr>
          <w:rFonts w:hint="eastAsia"/>
          <w:spacing w:val="160"/>
          <w:kern w:val="0"/>
          <w:fitText w:val="1600" w:id="-708134129"/>
        </w:rPr>
        <w:t>約定期</w:t>
      </w:r>
      <w:r>
        <w:rPr>
          <w:rFonts w:hint="eastAsia"/>
          <w:kern w:val="0"/>
          <w:fitText w:val="1600" w:id="-708134129"/>
        </w:rPr>
        <w:t>間</w:t>
      </w:r>
      <w:r>
        <w:rPr>
          <w:rFonts w:hint="eastAsia"/>
        </w:rPr>
        <w:t xml:space="preserve">　スタート取引受渡日（当日を含む。）からエンド取引受渡日（当日を含まない。）までの間の日数をいう。ただし、スタート取引受渡日において第７条第13項に定める再評価取引を行った場合は、零日とする。</w:t>
      </w:r>
    </w:p>
    <w:p>
      <w:pPr>
        <w:pStyle w:val="J3"/>
        <w:rPr>
          <w:color w:val="auto"/>
        </w:rPr>
      </w:pPr>
      <w:r>
        <w:rPr>
          <w:rFonts w:hint="eastAsia"/>
          <w:color w:val="auto"/>
        </w:rPr>
        <w:t>第 ３ 条（取引の成立、確認及び終了）</w:t>
      </w:r>
    </w:p>
    <w:p>
      <w:pPr>
        <w:pStyle w:val="J3"/>
        <w:rPr>
          <w:color w:val="auto"/>
        </w:rPr>
      </w:pPr>
      <w:r>
        <w:rPr>
          <w:rFonts w:hint="eastAsia"/>
          <w:color w:val="auto"/>
        </w:rPr>
        <w:t>１</w:t>
      </w:r>
      <w:r>
        <w:rPr>
          <w:rFonts w:hint="eastAsia"/>
          <w:color w:val="auto"/>
        </w:rPr>
        <w:tab/>
        <w:t>個別現先取引は、口頭、書面又はその他の方法（電子的方法によるものを含むがこれらに限られない。）による一方当事者の申込と他方当事者による承諾の合致により成立する。</w:t>
      </w:r>
    </w:p>
    <w:p>
      <w:pPr>
        <w:pStyle w:val="J3"/>
        <w:rPr>
          <w:color w:val="auto"/>
        </w:rPr>
      </w:pPr>
      <w:r>
        <w:rPr>
          <w:rFonts w:hint="eastAsia"/>
          <w:color w:val="auto"/>
        </w:rPr>
        <w:t>２</w:t>
      </w:r>
      <w:r>
        <w:rPr>
          <w:rFonts w:hint="eastAsia"/>
          <w:color w:val="auto"/>
        </w:rPr>
        <w:tab/>
        <w:t>前項により個別現先取引が成立した場合、当事者は、各別紙の定めに従い、当該個別現先取引に係る個別取引明細書を交付し、又はかかる個別取引明細書の交付に代えて当該個別現先取引に係る契約内容を確認するものとする。</w:t>
      </w:r>
    </w:p>
    <w:p>
      <w:pPr>
        <w:pStyle w:val="J3"/>
        <w:rPr>
          <w:color w:val="auto"/>
        </w:rPr>
      </w:pPr>
      <w:r>
        <w:rPr>
          <w:rFonts w:hint="eastAsia"/>
          <w:color w:val="auto"/>
        </w:rPr>
        <w:t>３</w:t>
      </w:r>
      <w:r>
        <w:rPr>
          <w:rFonts w:hint="eastAsia"/>
          <w:color w:val="auto"/>
        </w:rPr>
        <w:tab/>
        <w:t>スタート取引受渡日に、売手は、買手によるスタート売買金額の支払と引き換えに、買手に対し取引対象債券等を引き渡すものとする。</w:t>
      </w:r>
    </w:p>
    <w:p>
      <w:pPr>
        <w:pStyle w:val="J3"/>
        <w:rPr>
          <w:color w:val="auto"/>
        </w:rPr>
      </w:pPr>
      <w:r>
        <w:rPr>
          <w:rFonts w:hint="eastAsia"/>
          <w:color w:val="auto"/>
        </w:rPr>
        <w:t>４</w:t>
      </w:r>
      <w:r>
        <w:rPr>
          <w:rFonts w:hint="eastAsia"/>
          <w:color w:val="auto"/>
        </w:rPr>
        <w:tab/>
        <w:t>エンド取引受渡日に、買手は、売手によるエンド売買金額の支払と引き換えに、売手に対し同種、同量の債券等を引き渡すことにより、当該個別現先取引は終了するものとする。</w:t>
      </w:r>
    </w:p>
    <w:p>
      <w:pPr>
        <w:pStyle w:val="J3"/>
        <w:rPr>
          <w:color w:val="auto"/>
        </w:rPr>
      </w:pPr>
      <w:r>
        <w:rPr>
          <w:rFonts w:hint="eastAsia"/>
          <w:color w:val="auto"/>
        </w:rPr>
        <w:t>第 ４ 条（有価証券の引渡し）</w:t>
      </w:r>
    </w:p>
    <w:p>
      <w:pPr>
        <w:pStyle w:val="J3"/>
        <w:rPr>
          <w:color w:val="auto"/>
        </w:rPr>
      </w:pPr>
      <w:r>
        <w:rPr>
          <w:rFonts w:hint="eastAsia"/>
          <w:color w:val="auto"/>
        </w:rPr>
        <w:lastRenderedPageBreak/>
        <w:t>１</w:t>
      </w:r>
      <w:r>
        <w:rPr>
          <w:rFonts w:hint="eastAsia"/>
          <w:color w:val="auto"/>
        </w:rPr>
        <w:tab/>
        <w:t>本基本契約書に基づく有価証券の引渡しは、次の各号に</w:t>
      </w:r>
      <w:r>
        <w:rPr>
          <w:rFonts w:hAnsi="ＭＳ 明朝" w:hint="eastAsia"/>
          <w:color w:val="auto"/>
        </w:rPr>
        <w:t>掲げる</w:t>
      </w:r>
      <w:r>
        <w:rPr>
          <w:rFonts w:hint="eastAsia"/>
          <w:color w:val="auto"/>
        </w:rPr>
        <w:t>方法のいずれかにより行う。</w:t>
      </w:r>
    </w:p>
    <w:p>
      <w:pPr>
        <w:pStyle w:val="J6"/>
      </w:pPr>
      <w:r>
        <w:rPr>
          <w:rFonts w:hint="eastAsia"/>
        </w:rPr>
        <w:t>⑴</w:t>
      </w:r>
      <w:r>
        <w:rPr>
          <w:rFonts w:hint="eastAsia"/>
        </w:rPr>
        <w:tab/>
        <w:t>当該有価証券を表章する証券の引渡し</w:t>
      </w:r>
    </w:p>
    <w:p>
      <w:pPr>
        <w:pStyle w:val="J6"/>
      </w:pPr>
      <w:r>
        <w:rPr>
          <w:rFonts w:hint="eastAsia"/>
        </w:rPr>
        <w:t>⑵</w:t>
      </w:r>
      <w:r>
        <w:rPr>
          <w:rFonts w:hint="eastAsia"/>
        </w:rPr>
        <w:tab/>
        <w:t>名義変更登録、口座振替若しくはその他当該有価証券の権利移転に必要な手続の完了又はこれらに必要な一切の書類の交付。ただし、スタート取引受渡日及びエンド取引受渡日並びに担保証券の移転日において確実に引渡請求権者への権利移転の効力が生じるに足る時間的余裕をもって行われることを要するものとする。なお、この方法により、当該有価証券に関し権利移転の効力が発生しなかったときは、当該有価証券の引渡しが行われなかったものとする。</w:t>
      </w:r>
    </w:p>
    <w:p>
      <w:pPr>
        <w:pStyle w:val="J3"/>
        <w:rPr>
          <w:color w:val="auto"/>
        </w:rPr>
      </w:pPr>
      <w:r>
        <w:rPr>
          <w:rFonts w:hint="eastAsia"/>
          <w:color w:val="auto"/>
        </w:rPr>
        <w:t>２</w:t>
      </w:r>
      <w:r>
        <w:rPr>
          <w:rFonts w:hint="eastAsia"/>
          <w:color w:val="auto"/>
        </w:rPr>
        <w:tab/>
        <w:t>両当事者は、本基本契約書に基づく有価証券の引渡しについては、当該有価証券に係るすべての権利が、いかなる先取特権、質権等の負担もない状態で受取人に移転されるよう、すべての必要書類を作成のうえ、当該書類を引き渡し、かつ必要なすべての措置をとるものとする。</w:t>
      </w:r>
    </w:p>
    <w:p>
      <w:pPr>
        <w:pStyle w:val="J3"/>
        <w:rPr>
          <w:color w:val="auto"/>
        </w:rPr>
      </w:pPr>
      <w:r>
        <w:rPr>
          <w:rFonts w:hint="eastAsia"/>
          <w:color w:val="auto"/>
        </w:rPr>
        <w:t>第 ５ 条（権利の移転時期）</w:t>
      </w:r>
      <w:r>
        <w:rPr>
          <w:color w:val="auto"/>
        </w:rPr>
        <w:br/>
      </w:r>
      <w:r>
        <w:rPr>
          <w:rFonts w:hint="eastAsia"/>
          <w:color w:val="auto"/>
        </w:rPr>
        <w:t xml:space="preserve">　個別現先取引における当該取引対象債券等上の権利は、スタート取引受渡日において買手が売手にスタート売買金額の全額を支払ったときに売手から買手に移転し、エンド取引受渡日において売手が買手にエンド売買金額の全額を支払ったときに買手から売手に移転するものとする。</w:t>
      </w:r>
    </w:p>
    <w:p>
      <w:pPr>
        <w:pStyle w:val="J3"/>
        <w:rPr>
          <w:color w:val="auto"/>
        </w:rPr>
      </w:pPr>
      <w:r>
        <w:rPr>
          <w:rFonts w:hint="eastAsia"/>
          <w:color w:val="auto"/>
        </w:rPr>
        <w:t>第 ６ 条（繰上げ償還の場合）</w:t>
      </w:r>
    </w:p>
    <w:p>
      <w:pPr>
        <w:pStyle w:val="J3"/>
        <w:rPr>
          <w:color w:val="auto"/>
        </w:rPr>
      </w:pPr>
      <w:r>
        <w:rPr>
          <w:rFonts w:hint="eastAsia"/>
          <w:color w:val="auto"/>
        </w:rPr>
        <w:t>１</w:t>
      </w:r>
      <w:r>
        <w:rPr>
          <w:rFonts w:hint="eastAsia"/>
          <w:color w:val="auto"/>
        </w:rPr>
        <w:tab/>
        <w:t>エンド取引受渡日までに取引対象債券等の全部又は一部が繰上げ償還される場合、当事者間に別段の合意があるときを除き、償還期日において、売手は買手から償還期日を受渡日として次項に定める買戻し金額により償還の対象となる部分の取引対象債券等を買い戻す旨の合意が成立したものとみなす。</w:t>
      </w:r>
    </w:p>
    <w:p>
      <w:pPr>
        <w:pStyle w:val="J3"/>
        <w:rPr>
          <w:color w:val="auto"/>
        </w:rPr>
      </w:pPr>
      <w:r>
        <w:rPr>
          <w:rFonts w:hint="eastAsia"/>
          <w:color w:val="auto"/>
        </w:rPr>
        <w:t>２</w:t>
      </w:r>
      <w:r>
        <w:rPr>
          <w:rFonts w:hint="eastAsia"/>
          <w:color w:val="auto"/>
        </w:rPr>
        <w:tab/>
        <w:t>前項に定める買戻し金額は、償還期日をエンド取引受渡日とみなして各別紙に定めるエンド売買金額の算出方法に係る算式に当てはめて得られた金額とする。</w:t>
      </w:r>
    </w:p>
    <w:p>
      <w:pPr>
        <w:pStyle w:val="J3"/>
        <w:rPr>
          <w:color w:val="auto"/>
        </w:rPr>
      </w:pPr>
      <w:r>
        <w:rPr>
          <w:rFonts w:hint="eastAsia"/>
          <w:color w:val="auto"/>
        </w:rPr>
        <w:t>第 ７ 条（担保の管理等）</w:t>
      </w:r>
    </w:p>
    <w:p>
      <w:pPr>
        <w:pStyle w:val="J3"/>
        <w:rPr>
          <w:color w:val="auto"/>
        </w:rPr>
      </w:pPr>
      <w:r>
        <w:rPr>
          <w:rFonts w:hint="eastAsia"/>
          <w:color w:val="auto"/>
        </w:rPr>
        <w:t>１</w:t>
      </w:r>
      <w:r>
        <w:rPr>
          <w:rFonts w:hint="eastAsia"/>
          <w:color w:val="auto"/>
        </w:rPr>
        <w:tab/>
        <w:t>他方当事者に対して純与信額を有する当事者は、いつでも、当該他方当事者に対し、通知により、純与信額が零以上となるよう担保の差入れ又は返戻を請求することができる。</w:t>
      </w:r>
    </w:p>
    <w:p>
      <w:pPr>
        <w:pStyle w:val="J3"/>
        <w:rPr>
          <w:color w:val="auto"/>
        </w:rPr>
      </w:pPr>
      <w:r>
        <w:rPr>
          <w:rFonts w:hint="eastAsia"/>
          <w:color w:val="auto"/>
        </w:rPr>
        <w:t>２</w:t>
      </w:r>
      <w:r>
        <w:rPr>
          <w:rFonts w:hint="eastAsia"/>
          <w:color w:val="auto"/>
        </w:rPr>
        <w:tab/>
        <w:t>前項に基づく担保の差入れは消費貸借の形式によるものとする。</w:t>
      </w:r>
    </w:p>
    <w:p>
      <w:pPr>
        <w:pStyle w:val="J3"/>
        <w:rPr>
          <w:color w:val="auto"/>
        </w:rPr>
      </w:pPr>
      <w:r>
        <w:rPr>
          <w:rFonts w:hint="eastAsia"/>
          <w:color w:val="auto"/>
        </w:rPr>
        <w:t>３</w:t>
      </w:r>
      <w:r>
        <w:rPr>
          <w:rFonts w:hint="eastAsia"/>
          <w:color w:val="auto"/>
        </w:rPr>
        <w:tab/>
        <w:t>第１項に基づく通知は、各別紙において定める期限までに行うものとする。</w:t>
      </w:r>
    </w:p>
    <w:p>
      <w:pPr>
        <w:pStyle w:val="J3"/>
        <w:rPr>
          <w:color w:val="auto"/>
        </w:rPr>
      </w:pPr>
      <w:r>
        <w:rPr>
          <w:rFonts w:hint="eastAsia"/>
          <w:color w:val="auto"/>
        </w:rPr>
        <w:t>４</w:t>
      </w:r>
      <w:r>
        <w:rPr>
          <w:rFonts w:hint="eastAsia"/>
          <w:color w:val="auto"/>
        </w:rPr>
        <w:tab/>
        <w:t>純与信額の算出については、外国通貨による金額は、当該時点の対顧客電信買相場を用いて日本円に換算して計算するものとする。</w:t>
      </w:r>
    </w:p>
    <w:p>
      <w:pPr>
        <w:pStyle w:val="J3"/>
        <w:rPr>
          <w:color w:val="auto"/>
        </w:rPr>
      </w:pPr>
      <w:r>
        <w:rPr>
          <w:rFonts w:hint="eastAsia"/>
          <w:color w:val="auto"/>
        </w:rPr>
        <w:t>５</w:t>
      </w:r>
      <w:r>
        <w:rPr>
          <w:rFonts w:hint="eastAsia"/>
          <w:color w:val="auto"/>
        </w:rPr>
        <w:tab/>
        <w:t>担保の差入れの請求を受けた当事者は、担保金又は担保証券のいずれかを選択して差入れを行うものとする。また、担保の差入れの請求を受けた当事者は、担保証券による場合、予め合意された担保証券のうちいずれの担保証券により差入れを行うかを選択することができる。</w:t>
      </w:r>
    </w:p>
    <w:p>
      <w:pPr>
        <w:pStyle w:val="J3"/>
        <w:rPr>
          <w:color w:val="auto"/>
        </w:rPr>
      </w:pPr>
      <w:r>
        <w:rPr>
          <w:rFonts w:hint="eastAsia"/>
          <w:color w:val="auto"/>
        </w:rPr>
        <w:t>６</w:t>
      </w:r>
      <w:r>
        <w:rPr>
          <w:rFonts w:hint="eastAsia"/>
          <w:color w:val="auto"/>
        </w:rPr>
        <w:tab/>
        <w:t>前項の規定にかかわらず、担保の移転を請求している当事者（本項において「第一当事者」という。）が、以前に他方当事者（本項において「第二当事者」という。）に対して差し入れた担保金（担保金利息を含まない。以下、本項、次項及び第９項において同じ。）の返戻を受けていない場合又は以前に第二当事者に対して差し入れた担保証券と同種、同量の担保証券の返戻を受けていない場合は、当該第一当事者は第二当事者に対し、当該担保の移転は、当該担保金又は同種、同量の担保証券の返戻により行われるよう請求することができるものとする</w:t>
      </w:r>
    </w:p>
    <w:p>
      <w:pPr>
        <w:pStyle w:val="J3"/>
        <w:rPr>
          <w:color w:val="auto"/>
        </w:rPr>
      </w:pPr>
      <w:r>
        <w:rPr>
          <w:rFonts w:hint="eastAsia"/>
          <w:color w:val="auto"/>
        </w:rPr>
        <w:t>７</w:t>
      </w:r>
      <w:r>
        <w:rPr>
          <w:rFonts w:hint="eastAsia"/>
          <w:color w:val="auto"/>
        </w:rPr>
        <w:tab/>
        <w:t>担保金の差入れ又は返戻は、日本円又は当事者間で合意した他の通貨で行うこととする。</w:t>
      </w:r>
    </w:p>
    <w:p>
      <w:pPr>
        <w:pStyle w:val="J3"/>
        <w:rPr>
          <w:color w:val="auto"/>
        </w:rPr>
      </w:pPr>
      <w:r>
        <w:rPr>
          <w:rFonts w:hint="eastAsia"/>
          <w:color w:val="auto"/>
        </w:rPr>
        <w:t>８</w:t>
      </w:r>
      <w:r>
        <w:rPr>
          <w:rFonts w:hint="eastAsia"/>
          <w:color w:val="auto"/>
        </w:rPr>
        <w:tab/>
        <w:t>担保金には、各別紙で定められた利率による利息を付すことができ、当該利息の支払は当該別紙で定められた支払時期の規定に従って行われるものとする。</w:t>
      </w:r>
    </w:p>
    <w:p>
      <w:pPr>
        <w:pStyle w:val="J3"/>
        <w:rPr>
          <w:color w:val="auto"/>
        </w:rPr>
      </w:pPr>
      <w:r>
        <w:rPr>
          <w:rFonts w:hint="eastAsia"/>
          <w:color w:val="auto"/>
        </w:rPr>
        <w:t>９</w:t>
      </w:r>
      <w:r>
        <w:rPr>
          <w:rFonts w:hint="eastAsia"/>
          <w:color w:val="auto"/>
        </w:rPr>
        <w:tab/>
        <w:t>一方当事者が本条に基づき担保の移転を行う義務を負うこととなった場合には、当該当事者は、各別紙で定められた期限又は当事者間で別途合意された期限までに、担保金の差入れ若しくは返戻、担保証券の差入れ又は同種、同量の担保証券の返戻を行わなければならない。</w:t>
      </w:r>
    </w:p>
    <w:p>
      <w:pPr>
        <w:pStyle w:val="J3"/>
        <w:rPr>
          <w:color w:val="auto"/>
        </w:rPr>
      </w:pPr>
      <w:r>
        <w:rPr>
          <w:rFonts w:hint="eastAsia"/>
          <w:color w:val="auto"/>
        </w:rPr>
        <w:t>10</w:t>
      </w:r>
      <w:r>
        <w:rPr>
          <w:rFonts w:hint="eastAsia"/>
          <w:color w:val="auto"/>
        </w:rPr>
        <w:tab/>
        <w:t>両当事者は、個別現先取引において、第１項から前項まで及び各別紙の規定にかかわらず、当該取引に関する担保の提供について別途合意することができる。この場合、当該取引は純与信額の算出の対象とされず、当該取引に関する担保は当事者が別途合意する方法により差し入れられるものとする。</w:t>
      </w:r>
    </w:p>
    <w:p>
      <w:pPr>
        <w:pStyle w:val="J3"/>
        <w:rPr>
          <w:color w:val="auto"/>
        </w:rPr>
      </w:pPr>
      <w:r>
        <w:rPr>
          <w:rFonts w:hint="eastAsia"/>
          <w:color w:val="auto"/>
        </w:rPr>
        <w:t>11</w:t>
      </w:r>
      <w:r>
        <w:rPr>
          <w:rFonts w:hint="eastAsia"/>
          <w:color w:val="auto"/>
        </w:rPr>
        <w:tab/>
        <w:t>一方当事者（以下、本項及び次項において「請求者」という。）が他方当事者に対して担保証券を差し入れている場合、請求者は、同種、同量の担保証券が返戻される前であればいつでも、当該他方当事者に対する通知により、新たな担保証</w:t>
      </w:r>
      <w:r>
        <w:rPr>
          <w:rFonts w:hint="eastAsia"/>
          <w:color w:val="auto"/>
        </w:rPr>
        <w:lastRenderedPageBreak/>
        <w:t>券（当該有価証券が、当該通知日において、当該同種、同量の担保証券が有する時価総額以上の時価総額を有するものであることを要する。）を、当該通知日から３営業日（通知日を含む。）以内の間で各別紙において定める差替日において、当該他方当事者に差し入れることと交換に、当該同種、同量の担保証券を返戻すべきことを申し出ることができる。当該他方当事者が当該申出を承諾した場合、新たな担保証券の差入れと当該同種、同量の担保証券の返戻は同時に行われるものとする。</w:t>
      </w:r>
    </w:p>
    <w:p>
      <w:pPr>
        <w:pStyle w:val="J3"/>
        <w:rPr>
          <w:color w:val="auto"/>
        </w:rPr>
      </w:pPr>
      <w:r>
        <w:rPr>
          <w:rFonts w:hint="eastAsia"/>
          <w:color w:val="auto"/>
        </w:rPr>
        <w:t>12</w:t>
      </w:r>
      <w:r>
        <w:rPr>
          <w:rFonts w:hint="eastAsia"/>
          <w:color w:val="auto"/>
        </w:rPr>
        <w:tab/>
        <w:t>担保の移転に際し、各別紙において当該差入れ又は返戻に係る詳細を通知する旨の合意がある場合、当該別紙に定める当事者は、当該各別紙の定めに従い、他方当事者に対し当該担保の詳細を通知するものとする。</w:t>
      </w:r>
    </w:p>
    <w:p>
      <w:pPr>
        <w:pStyle w:val="J3"/>
        <w:rPr>
          <w:color w:val="auto"/>
        </w:rPr>
      </w:pPr>
      <w:r>
        <w:rPr>
          <w:rFonts w:hint="eastAsia"/>
          <w:color w:val="auto"/>
        </w:rPr>
        <w:t>13</w:t>
      </w:r>
      <w:r>
        <w:rPr>
          <w:rFonts w:hint="eastAsia"/>
          <w:color w:val="auto"/>
        </w:rPr>
        <w:tab/>
        <w:t>両当事者は、第１項から前項まで及び各別紙の規定による担保の移転によらず、次の各号に定めるところにより行われる再評価取引により、発生する純与信額を解消することを合意することができる。</w:t>
      </w:r>
    </w:p>
    <w:p>
      <w:pPr>
        <w:pStyle w:val="J6"/>
      </w:pPr>
      <w:r>
        <w:rPr>
          <w:rFonts w:hint="eastAsia"/>
        </w:rPr>
        <w:t>⑴</w:t>
      </w:r>
      <w:r>
        <w:rPr>
          <w:rFonts w:hint="eastAsia"/>
        </w:rPr>
        <w:tab/>
        <w:t>個別現先取引（本項において「本来の取引」という。）におけるエンド取引受渡日が、再評価する日（以下「再評価日」という。）において到来するものとみなす。</w:t>
      </w:r>
    </w:p>
    <w:p>
      <w:pPr>
        <w:pStyle w:val="J6"/>
      </w:pPr>
      <w:r>
        <w:rPr>
          <w:rFonts w:hint="eastAsia"/>
        </w:rPr>
        <w:t>⑵</w:t>
      </w:r>
      <w:r>
        <w:rPr>
          <w:rFonts w:hint="eastAsia"/>
        </w:rPr>
        <w:tab/>
        <w:t>両当事者が、次二号に規定された条件で、新たな個別現先取引（以下「再評価取引」という。）を行うものとみなす。</w:t>
      </w:r>
    </w:p>
    <w:p>
      <w:pPr>
        <w:pStyle w:val="J6"/>
      </w:pPr>
      <w:r>
        <w:rPr>
          <w:rFonts w:hint="eastAsia"/>
        </w:rPr>
        <w:t>⑶</w:t>
      </w:r>
      <w:r>
        <w:rPr>
          <w:rFonts w:hint="eastAsia"/>
        </w:rPr>
        <w:tab/>
        <w:t>再評価取引における取引対象債券等は本来の取引の取引対象債券等と同種、同量の債券等とする。</w:t>
      </w:r>
    </w:p>
    <w:p>
      <w:pPr>
        <w:pStyle w:val="J6"/>
      </w:pPr>
      <w:r>
        <w:rPr>
          <w:rFonts w:hint="eastAsia"/>
        </w:rPr>
        <w:t>⑷</w:t>
      </w:r>
      <w:r>
        <w:rPr>
          <w:rFonts w:hint="eastAsia"/>
        </w:rPr>
        <w:tab/>
        <w:t>再評価取引におけるスタート取引受渡日は再評価日とする。</w:t>
      </w:r>
    </w:p>
    <w:p>
      <w:pPr>
        <w:pStyle w:val="J6"/>
      </w:pPr>
      <w:r>
        <w:rPr>
          <w:rFonts w:hint="eastAsia"/>
        </w:rPr>
        <w:t>⑸</w:t>
      </w:r>
      <w:r>
        <w:rPr>
          <w:rFonts w:hint="eastAsia"/>
        </w:rPr>
        <w:tab/>
        <w:t>再評価取引におけるスタート売買金額は、再評価日における同種、同量の債券等の時価総額を本来の取引に適用される売買金額算出比率に１を加えた値で除した額とする。</w:t>
      </w:r>
    </w:p>
    <w:p>
      <w:pPr>
        <w:pStyle w:val="J6"/>
      </w:pPr>
      <w:r>
        <w:rPr>
          <w:rFonts w:hint="eastAsia"/>
        </w:rPr>
        <w:t>⑹</w:t>
      </w:r>
      <w:r>
        <w:rPr>
          <w:rFonts w:hint="eastAsia"/>
        </w:rPr>
        <w:tab/>
        <w:t>再評価取引に係る諸条件（エンド取引受渡日、現先レート、売買金額算出比率及び前各号に規定されたものを除く他の条件をいう。）は、本来の取引に係る条件と同一とする。</w:t>
      </w:r>
    </w:p>
    <w:p>
      <w:pPr>
        <w:pStyle w:val="J6"/>
      </w:pPr>
      <w:r>
        <w:rPr>
          <w:rFonts w:hint="eastAsia"/>
        </w:rPr>
        <w:t>⑺</w:t>
      </w:r>
      <w:r>
        <w:rPr>
          <w:rFonts w:hint="eastAsia"/>
        </w:rPr>
        <w:tab/>
        <w:t>再評価取引における両当事者の取引対象債券等の引渡債務及びスタート売買金額の支払債務は、本来の取引における同種、同量の債券等の引渡債務及びエンド売買金額の支払債務との間で相殺されるものとし、相殺後の額の金銭のみが一方当事者から他方当事者へ支払われるものとする。当該金銭は再評価取引締結時に定める期限までに支払われるものとする。</w:t>
      </w:r>
    </w:p>
    <w:p>
      <w:pPr>
        <w:pStyle w:val="J3"/>
        <w:rPr>
          <w:color w:val="auto"/>
        </w:rPr>
      </w:pPr>
      <w:r>
        <w:rPr>
          <w:rFonts w:hint="eastAsia"/>
          <w:color w:val="auto"/>
        </w:rPr>
        <w:t>第 ８ 条（有価証券からの収益金）</w:t>
      </w:r>
    </w:p>
    <w:p>
      <w:pPr>
        <w:pStyle w:val="J3"/>
        <w:rPr>
          <w:color w:val="auto"/>
        </w:rPr>
      </w:pPr>
      <w:r>
        <w:rPr>
          <w:rFonts w:hint="eastAsia"/>
          <w:color w:val="auto"/>
        </w:rPr>
        <w:t>１</w:t>
      </w:r>
      <w:r>
        <w:rPr>
          <w:rFonts w:hint="eastAsia"/>
          <w:color w:val="auto"/>
        </w:rPr>
        <w:tab/>
        <w:t>取引期間中に取引対象債券等の収益金基準日が含まれる場合には、買手は、売手に対し当該取引対象債券等の収益金又はこれと同額の金銭を支払うものとする。ただし、収益金基準日がエンド取引受渡日であり、かつ当該エンド取引受渡日に買手が売手に対し同種、同量の債券等を引き渡した場合を除く。</w:t>
      </w:r>
    </w:p>
    <w:p>
      <w:pPr>
        <w:pStyle w:val="J3"/>
        <w:rPr>
          <w:color w:val="auto"/>
        </w:rPr>
      </w:pPr>
      <w:r>
        <w:rPr>
          <w:rFonts w:hint="eastAsia"/>
          <w:color w:val="auto"/>
        </w:rPr>
        <w:t>２</w:t>
      </w:r>
      <w:r>
        <w:rPr>
          <w:rFonts w:hint="eastAsia"/>
          <w:color w:val="auto"/>
        </w:rPr>
        <w:tab/>
        <w:t>担保証券が一方当事者（本項において「第一当事者」という。）から他方当事者（本項において「第二当事者」という。）へ差し入れられ、同種、同量の担保証券が第二当事者から第一当事者へ返戻される前に当該担保証券の収益金基準日が到来した場合、第二当事者は、第一当事者に対し当該担保証券に発生した当該収益金又はこれと同額の金銭を支払うものとする。</w:t>
      </w:r>
    </w:p>
    <w:p>
      <w:pPr>
        <w:pStyle w:val="J3"/>
        <w:rPr>
          <w:color w:val="auto"/>
        </w:rPr>
      </w:pPr>
      <w:r>
        <w:rPr>
          <w:rFonts w:hint="eastAsia"/>
          <w:color w:val="auto"/>
        </w:rPr>
        <w:t>３</w:t>
      </w:r>
      <w:r>
        <w:rPr>
          <w:rFonts w:hint="eastAsia"/>
          <w:color w:val="auto"/>
        </w:rPr>
        <w:tab/>
        <w:t>前二項に基づく支払は、当事者間に別段の合意がある場合を除き、収益金支払日に行うものとする。</w:t>
      </w:r>
    </w:p>
    <w:p>
      <w:pPr>
        <w:pStyle w:val="J3"/>
        <w:rPr>
          <w:color w:val="auto"/>
        </w:rPr>
      </w:pPr>
      <w:r>
        <w:rPr>
          <w:rFonts w:hint="eastAsia"/>
          <w:color w:val="auto"/>
        </w:rPr>
        <w:t>４</w:t>
      </w:r>
      <w:r>
        <w:rPr>
          <w:rFonts w:hint="eastAsia"/>
          <w:color w:val="auto"/>
        </w:rPr>
        <w:tab/>
        <w:t>取引期間中に取引対象債券等の発行体がその収益金の支払遅延又は支払不能に陥った場合には、次の各号に従うものとする｡</w:t>
      </w:r>
    </w:p>
    <w:p>
      <w:pPr>
        <w:pStyle w:val="J6"/>
        <w:ind w:left="180" w:firstLine="0"/>
      </w:pPr>
      <w:r>
        <w:rPr>
          <w:rFonts w:hint="eastAsia"/>
        </w:rPr>
        <w:t>⑴</w:t>
      </w:r>
      <w:r>
        <w:rPr>
          <w:rFonts w:hint="eastAsia"/>
        </w:rPr>
        <w:tab/>
        <w:t>当該取引期間中に収益金支払が再開されたとき</w:t>
      </w:r>
    </w:p>
    <w:p>
      <w:pPr>
        <w:pStyle w:val="J6"/>
        <w:tabs>
          <w:tab w:val="clear" w:pos="320"/>
        </w:tabs>
        <w:ind w:left="180"/>
      </w:pPr>
      <w:r>
        <w:rPr>
          <w:rFonts w:hint="eastAsia"/>
        </w:rPr>
        <w:tab/>
      </w:r>
      <w:r>
        <w:rPr>
          <w:rFonts w:hint="eastAsia"/>
        </w:rPr>
        <w:tab/>
        <w:t>当該収益金の支払が再開された日以降、買手は速やかに収益金相当額を売手に対して支払うものとする｡</w:t>
      </w:r>
    </w:p>
    <w:p>
      <w:pPr>
        <w:pStyle w:val="J6"/>
        <w:ind w:left="180" w:firstLine="0"/>
      </w:pPr>
      <w:r>
        <w:rPr>
          <w:rFonts w:hint="eastAsia"/>
        </w:rPr>
        <w:t>⑵</w:t>
      </w:r>
      <w:r>
        <w:rPr>
          <w:rFonts w:hint="eastAsia"/>
        </w:rPr>
        <w:tab/>
        <w:t>当該取引期間中に収益金支払が再開されなかったとき</w:t>
      </w:r>
    </w:p>
    <w:p>
      <w:pPr>
        <w:pStyle w:val="J6"/>
        <w:tabs>
          <w:tab w:val="clear" w:pos="320"/>
        </w:tabs>
        <w:ind w:firstLineChars="100" w:firstLine="160"/>
      </w:pPr>
      <w:r>
        <w:rPr>
          <w:rFonts w:hint="eastAsia"/>
        </w:rPr>
        <w:t>買手は、売手に対して当該収益金請求権の付されている取引対象債券等を売り戻すものとする｡</w:t>
      </w:r>
    </w:p>
    <w:p>
      <w:pPr>
        <w:pStyle w:val="J3"/>
        <w:rPr>
          <w:color w:val="auto"/>
        </w:rPr>
      </w:pPr>
      <w:r>
        <w:rPr>
          <w:rFonts w:hint="eastAsia"/>
          <w:color w:val="auto"/>
        </w:rPr>
        <w:t>第 ９ 条（</w:t>
      </w:r>
      <w:r>
        <w:rPr>
          <w:rFonts w:hint="eastAsia"/>
          <w:color w:val="auto"/>
          <w:spacing w:val="26"/>
          <w:kern w:val="0"/>
          <w:fitText w:val="800" w:id="-708134141"/>
        </w:rPr>
        <w:t>契約通</w:t>
      </w:r>
      <w:r>
        <w:rPr>
          <w:rFonts w:hint="eastAsia"/>
          <w:color w:val="auto"/>
          <w:spacing w:val="2"/>
          <w:kern w:val="0"/>
          <w:fitText w:val="800" w:id="-708134141"/>
        </w:rPr>
        <w:t>貨</w:t>
      </w:r>
      <w:r>
        <w:rPr>
          <w:rFonts w:hint="eastAsia"/>
          <w:color w:val="auto"/>
        </w:rPr>
        <w:t>）</w:t>
      </w:r>
    </w:p>
    <w:p>
      <w:pPr>
        <w:pStyle w:val="J3"/>
        <w:rPr>
          <w:color w:val="auto"/>
        </w:rPr>
      </w:pPr>
      <w:r>
        <w:rPr>
          <w:rFonts w:hint="eastAsia"/>
          <w:color w:val="auto"/>
        </w:rPr>
        <w:t>１</w:t>
      </w:r>
      <w:r>
        <w:rPr>
          <w:rFonts w:hint="eastAsia"/>
          <w:color w:val="auto"/>
        </w:rPr>
        <w:tab/>
        <w:t>スタート売買金額及びエンド売買金額の支払は、第11条第３項に定める場合を除き、すべてスタート売買金額の通貨（以下「契約通貨」という。）を用いるものとする。</w:t>
      </w:r>
    </w:p>
    <w:p>
      <w:pPr>
        <w:pStyle w:val="J3"/>
        <w:rPr>
          <w:color w:val="auto"/>
        </w:rPr>
      </w:pPr>
      <w:r>
        <w:rPr>
          <w:rFonts w:hint="eastAsia"/>
          <w:color w:val="auto"/>
        </w:rPr>
        <w:t>２</w:t>
      </w:r>
      <w:r>
        <w:rPr>
          <w:rFonts w:hint="eastAsia"/>
          <w:color w:val="auto"/>
        </w:rPr>
        <w:tab/>
        <w:t>前項の規定にかかわらず、支払を受ける当事者は、契約通貨以外のいかなる通貨（以下「支払通貨」という。）による支払も任意にこれを受け入れることができる。ただし、この場合においては、支払を行う当事者の当該金銭に係る支払債務は、支払を受けた当事者が、支払通貨により、通常の銀行業務の手続に従って、支払通貨と契約通貨のスポット取引における通常の引渡期間内に引渡しを受けられるように契約通貨を購入した場合に得られる契約通貨の金額（当該購入に要する手数料その他の費用を除く。）の限度においてのみ履行されたものとする。</w:t>
      </w:r>
    </w:p>
    <w:p>
      <w:pPr>
        <w:pStyle w:val="J3"/>
        <w:rPr>
          <w:color w:val="auto"/>
        </w:rPr>
      </w:pPr>
      <w:r>
        <w:rPr>
          <w:rFonts w:hint="eastAsia"/>
          <w:color w:val="auto"/>
        </w:rPr>
        <w:lastRenderedPageBreak/>
        <w:t>３</w:t>
      </w:r>
      <w:r>
        <w:rPr>
          <w:rFonts w:hint="eastAsia"/>
          <w:color w:val="auto"/>
        </w:rPr>
        <w:tab/>
        <w:t>一方当事者が受け取った契約通貨による金額が支払期限の到来している契約通貨の額に不足する場合、前項の規定により支払通貨による支払が契約通貨による履行とされた場合及び判決又は命令等に基づき支払通貨による支払がなされた場合、当該一方当事者は、他方当事者に対し、他の債務と別個の独立した債務として、適用される法により許容されている限り、その不足額を補償するために必要な額の契約通貨による金銭の支払を請求することができる。当該他方当事者は、かかる請求を受けた場合、遅滞なく、当該一方当事者に対し当該額の金銭を支払うものとする。</w:t>
      </w:r>
    </w:p>
    <w:p>
      <w:pPr>
        <w:pStyle w:val="J3"/>
        <w:rPr>
          <w:color w:val="auto"/>
        </w:rPr>
      </w:pPr>
      <w:r>
        <w:rPr>
          <w:rFonts w:hint="eastAsia"/>
          <w:color w:val="auto"/>
        </w:rPr>
        <w:t>４</w:t>
      </w:r>
      <w:r>
        <w:rPr>
          <w:rFonts w:hint="eastAsia"/>
          <w:color w:val="auto"/>
        </w:rPr>
        <w:tab/>
        <w:t>当事者が受け取った契約通貨による金額が、支払期限の到来している契約通貨の額を超過する場合、支払を受けた当該当事者は、遅滞なく、他方当事者に対し当該超過額を返還するものとする。</w:t>
      </w:r>
    </w:p>
    <w:p>
      <w:pPr>
        <w:pStyle w:val="J3"/>
        <w:rPr>
          <w:color w:val="auto"/>
        </w:rPr>
      </w:pPr>
      <w:r>
        <w:rPr>
          <w:rFonts w:hint="eastAsia"/>
          <w:color w:val="auto"/>
        </w:rPr>
        <w:t>第 10 条（取引対象債券等の差替え）</w:t>
      </w:r>
    </w:p>
    <w:p>
      <w:pPr>
        <w:pStyle w:val="J3"/>
        <w:rPr>
          <w:color w:val="auto"/>
        </w:rPr>
      </w:pPr>
      <w:r>
        <w:rPr>
          <w:rFonts w:hint="eastAsia"/>
          <w:color w:val="auto"/>
        </w:rPr>
        <w:t>１</w:t>
      </w:r>
      <w:r>
        <w:rPr>
          <w:rFonts w:hint="eastAsia"/>
          <w:color w:val="auto"/>
        </w:rPr>
        <w:tab/>
        <w:t>個別現先取引（ただし、エンド取引受渡日がスタート取引受渡日の翌営業日である個別現先取引及び売手が既に別段の合意により取引対象債券等を差し替える権利を有している個別現先取引を除く。）につき、取引期間中のいずれの営業日において、売手は、買手に対して通知（当該通知は当該営業日の正午（午前12時）（日本時間。以下同じ。）までに買手に到達することを要する。）により申し出ることにより、当該通知日から３営業日（通知日を含む。）以内の間で別紙において定める差替日に、①売手から買手に対し、取引対象債券等とは異なる合意された額及び銘柄の債券等（以下「新取引対象債券等」という。当該新取引対象債券等は、当該通知日において、売手に対して引き渡される同種、同量の債券等が有する時価総額以上の時価総額を有するものであることとする。）を引き渡し、②買手から売手に対し、同種、同量の債券等を引き渡すことによって、当該取引対象債券等の差替えをすることができる。</w:t>
      </w:r>
    </w:p>
    <w:p>
      <w:pPr>
        <w:pStyle w:val="J3"/>
        <w:rPr>
          <w:color w:val="auto"/>
        </w:rPr>
      </w:pPr>
      <w:r>
        <w:rPr>
          <w:rFonts w:hint="eastAsia"/>
          <w:color w:val="auto"/>
        </w:rPr>
        <w:t>２</w:t>
      </w:r>
      <w:r>
        <w:rPr>
          <w:rFonts w:hint="eastAsia"/>
          <w:color w:val="auto"/>
        </w:rPr>
        <w:tab/>
        <w:t>前項に定める取引対象債券等の差替えは、買手が、通知が到達した当該営業日の営業終了時までに（売手からの通知が正午より後に到達した場合は当該営業日の翌営業日の営業終了時までに）、売手に対し、当該申出を承諾する旨の意思表示をした場合に限り行うものとする。</w:t>
      </w:r>
    </w:p>
    <w:p>
      <w:pPr>
        <w:pStyle w:val="J3"/>
        <w:rPr>
          <w:color w:val="auto"/>
        </w:rPr>
      </w:pPr>
      <w:r>
        <w:rPr>
          <w:rFonts w:hint="eastAsia"/>
          <w:color w:val="auto"/>
        </w:rPr>
        <w:t>３</w:t>
      </w:r>
      <w:r>
        <w:rPr>
          <w:color w:val="auto"/>
        </w:rPr>
        <w:tab/>
      </w:r>
      <w:r>
        <w:rPr>
          <w:rFonts w:hint="eastAsia"/>
          <w:color w:val="auto"/>
        </w:rPr>
        <w:t>第１項に基づく取引対象債券等の差替えにおいては、</w:t>
      </w:r>
      <w:r>
        <w:rPr>
          <w:rFonts w:hAnsi="ＭＳ 明朝" w:hint="eastAsia"/>
          <w:color w:val="auto"/>
        </w:rPr>
        <w:t>当事者間に別段の合意が</w:t>
      </w:r>
      <w:r>
        <w:rPr>
          <w:rFonts w:hint="eastAsia"/>
          <w:color w:val="auto"/>
        </w:rPr>
        <w:t>ある場合を除き</w:t>
      </w:r>
      <w:r>
        <w:rPr>
          <w:rFonts w:hAnsi="ＭＳ 明朝" w:hint="eastAsia"/>
          <w:color w:val="auto"/>
        </w:rPr>
        <w:t>、買手による同種、同量の債券等の引渡しは売手による取引対象債券等の差替えの実行日をエンド取引受渡日とした場合のエンド売買金額（以下本項において「差替売買金額」という。）の支払と引き換えに行われ、売手による新取引対象債券等の引渡しは買手による差替売買金額の支払と引き換えに行われるものとする。かかる場合、買手による同種、同量の債券等の引渡しと売手による差替売買金額の支払は個別現先取引におけるエンド取引の決済とみなし、売手による新取引対象債券等の引渡しと買手による差替売買金額の支払は新たな個別現先取引におけるスタート取引の決済とみなし、本基本契約書の規定を適用する。</w:t>
      </w:r>
    </w:p>
    <w:p>
      <w:pPr>
        <w:pStyle w:val="J3"/>
        <w:rPr>
          <w:color w:val="auto"/>
        </w:rPr>
      </w:pPr>
      <w:r>
        <w:rPr>
          <w:rFonts w:hint="eastAsia"/>
          <w:color w:val="auto"/>
        </w:rPr>
        <w:t>４</w:t>
      </w:r>
      <w:r>
        <w:rPr>
          <w:color w:val="auto"/>
        </w:rPr>
        <w:tab/>
      </w:r>
      <w:r>
        <w:rPr>
          <w:rFonts w:hint="eastAsia"/>
          <w:color w:val="auto"/>
        </w:rPr>
        <w:t>第１項に基づく取引対象債券等の差替えが行われた個別現先取引は、差替え後においては、売手に同種、同量の債券等が引き渡された差替え前の取引対象債券等に代わり、新取引対象債券等が当該取引の取引対象債券等であるものとしてその効力を維持するものとする。</w:t>
      </w:r>
    </w:p>
    <w:p>
      <w:pPr>
        <w:pStyle w:val="J3"/>
        <w:rPr>
          <w:color w:val="auto"/>
        </w:rPr>
      </w:pPr>
      <w:r>
        <w:rPr>
          <w:rFonts w:hint="eastAsia"/>
          <w:color w:val="auto"/>
        </w:rPr>
        <w:t>５</w:t>
      </w:r>
      <w:r>
        <w:rPr>
          <w:rFonts w:hint="eastAsia"/>
          <w:color w:val="auto"/>
        </w:rPr>
        <w:tab/>
      </w:r>
      <w:r>
        <w:rPr>
          <w:rFonts w:hAnsi="ＭＳ 明朝" w:hint="eastAsia"/>
          <w:color w:val="auto"/>
        </w:rPr>
        <w:t>前項の規定に従い、取引対象債券等の差替えが行われた場合における、新取引対象債券等に係るエンド売買金額は、当該差替え前の取引対象債券等（複数回の差替えがあった場合には、最初の取引対象債券等とする。）に関する当初の当該個別現先取引に係る契約の条件（エンド取引受渡日その他エンド取引に係る契約の条件を除く。）に従って算出された金額とする。</w:t>
      </w:r>
    </w:p>
    <w:p>
      <w:pPr>
        <w:pStyle w:val="J3"/>
        <w:rPr>
          <w:color w:val="auto"/>
        </w:rPr>
      </w:pPr>
      <w:r>
        <w:rPr>
          <w:rFonts w:hint="eastAsia"/>
          <w:color w:val="auto"/>
        </w:rPr>
        <w:t>第 11 条（債務不履行による取引終了）</w:t>
      </w:r>
    </w:p>
    <w:p>
      <w:pPr>
        <w:pStyle w:val="J3"/>
        <w:rPr>
          <w:color w:val="auto"/>
        </w:rPr>
      </w:pPr>
      <w:r>
        <w:rPr>
          <w:rFonts w:hint="eastAsia"/>
          <w:color w:val="auto"/>
        </w:rPr>
        <w:t>１</w:t>
      </w:r>
      <w:r>
        <w:rPr>
          <w:rFonts w:hint="eastAsia"/>
          <w:color w:val="auto"/>
        </w:rPr>
        <w:tab/>
        <w:t>一方当事者（以下「債務不履行当事者」という。）が、次の各号に掲げる事由（以下、当該事由をそれぞれ「債務不履行事由」という。）のうち第１号から第６号までのいずれかに該当することとなった場合においては、当然にすべての個別現先取引は終了するものとする。</w:t>
      </w:r>
    </w:p>
    <w:p>
      <w:pPr>
        <w:pStyle w:val="J3"/>
        <w:ind w:leftChars="100" w:left="180" w:firstLineChars="100" w:firstLine="160"/>
        <w:rPr>
          <w:color w:val="auto"/>
        </w:rPr>
      </w:pPr>
      <w:r>
        <w:rPr>
          <w:rFonts w:hint="eastAsia"/>
          <w:color w:val="auto"/>
        </w:rPr>
        <w:t>また、債務不履行当事者が第７号から第11号までのいずれかに該当することとなった場合においては、他方当事者（以下「非債務不履行当事者」という。）は、債務不履行当事者に対する通知により、すべての個別現先取引を終了させることができる。通知による終了は債務不履行当事者に対する通知の発送の日に効力が生じるものとする。</w:t>
      </w:r>
    </w:p>
    <w:p>
      <w:pPr>
        <w:pStyle w:val="J6"/>
      </w:pPr>
      <w:r>
        <w:rPr>
          <w:rFonts w:hint="eastAsia"/>
        </w:rPr>
        <w:t>⑴</w:t>
      </w:r>
      <w:r>
        <w:rPr>
          <w:rFonts w:hint="eastAsia"/>
        </w:rPr>
        <w:tab/>
        <w:t>破産手続開始、再生手続開始、更生手続開始若しくは特別清算開始の申立てがあったとき又はこれらの手続に類似する倒産手続（日本国外におけるものを含む。）開始の申立て若しくは開始があったとき</w:t>
      </w:r>
    </w:p>
    <w:p>
      <w:pPr>
        <w:pStyle w:val="J6"/>
      </w:pPr>
      <w:r>
        <w:rPr>
          <w:rFonts w:hint="eastAsia"/>
        </w:rPr>
        <w:t>⑵</w:t>
      </w:r>
      <w:r>
        <w:rPr>
          <w:rFonts w:hint="eastAsia"/>
        </w:rPr>
        <w:tab/>
        <w:t>解散の決議を行いその他解散の効力が生じたとき</w:t>
      </w:r>
    </w:p>
    <w:p>
      <w:pPr>
        <w:pStyle w:val="J6"/>
      </w:pPr>
      <w:r>
        <w:rPr>
          <w:rFonts w:hint="eastAsia"/>
        </w:rPr>
        <w:t>⑶</w:t>
      </w:r>
      <w:r>
        <w:rPr>
          <w:rFonts w:hint="eastAsia"/>
        </w:rPr>
        <w:tab/>
        <w:t>本基本契約書上相手方に対して有する金銭債権又は有価証券の引渡し若しくは返還請求権に対して保全差押え又は差押えの命令、通知が発送されたとき、又は当該債権若しくは当該請求権の譲渡若しくは質権設定の通知が発送されたとき</w:t>
      </w:r>
    </w:p>
    <w:p>
      <w:pPr>
        <w:pStyle w:val="J6"/>
      </w:pPr>
      <w:r>
        <w:rPr>
          <w:rFonts w:hint="eastAsia"/>
        </w:rPr>
        <w:lastRenderedPageBreak/>
        <w:t>⑷</w:t>
      </w:r>
      <w:r>
        <w:rPr>
          <w:rFonts w:hint="eastAsia"/>
        </w:rPr>
        <w:tab/>
        <w:t>支払を停止したとき</w:t>
      </w:r>
    </w:p>
    <w:p>
      <w:pPr>
        <w:pStyle w:val="J6"/>
      </w:pPr>
      <w:r>
        <w:rPr>
          <w:rFonts w:hint="eastAsia"/>
        </w:rPr>
        <w:t>⑸</w:t>
      </w:r>
      <w:r>
        <w:rPr>
          <w:rFonts w:hint="eastAsia"/>
        </w:rPr>
        <w:tab/>
        <w:t>手形交換所又は電子記録債権法第２条第２項に規定する電子債権記録機関の取引停止処分を受けたとき</w:t>
      </w:r>
    </w:p>
    <w:p>
      <w:pPr>
        <w:pStyle w:val="J6"/>
      </w:pPr>
      <w:r>
        <w:rPr>
          <w:rFonts w:hint="eastAsia"/>
        </w:rPr>
        <w:t>⑹</w:t>
      </w:r>
      <w:r>
        <w:rPr>
          <w:rFonts w:hint="eastAsia"/>
        </w:rPr>
        <w:tab/>
        <w:t>自己の責めに帰すべき事由によりその所在が不明となったとき</w:t>
      </w:r>
    </w:p>
    <w:p>
      <w:pPr>
        <w:pStyle w:val="J6"/>
      </w:pPr>
      <w:r>
        <w:rPr>
          <w:rFonts w:hint="eastAsia"/>
        </w:rPr>
        <w:t>⑺</w:t>
      </w:r>
      <w:r>
        <w:rPr>
          <w:rFonts w:hint="eastAsia"/>
        </w:rPr>
        <w:tab/>
        <w:t>本基本契約書上相手方に対して負う金銭債務又は有価証券の引渡し若しくは返還債務の一部でも履行を遅滞したとき（ただし、有価証券の引渡不履行に関する市場慣行が存在する場合、又は相手方の同意により履行期日を延期した場合を除く。）</w:t>
      </w:r>
    </w:p>
    <w:p>
      <w:pPr>
        <w:pStyle w:val="J6"/>
      </w:pPr>
      <w:r>
        <w:rPr>
          <w:rFonts w:hint="eastAsia"/>
        </w:rPr>
        <w:t>⑻</w:t>
      </w:r>
      <w:r>
        <w:rPr>
          <w:rFonts w:hint="eastAsia"/>
        </w:rPr>
        <w:tab/>
      </w:r>
      <w:r>
        <w:t>10</w:t>
      </w:r>
      <w:r>
        <w:rPr>
          <w:rFonts w:hint="eastAsia"/>
        </w:rPr>
        <w:t>億円以上の本基本契約以外に基づく債務（本基本契約書上の当事者以外の第三者に対する債務も含む。）に関し、期限の利益を喪失したとき</w:t>
      </w:r>
    </w:p>
    <w:p>
      <w:pPr>
        <w:pStyle w:val="J6"/>
      </w:pPr>
      <w:r>
        <w:rPr>
          <w:rFonts w:hint="eastAsia"/>
        </w:rPr>
        <w:t>⑼</w:t>
      </w:r>
      <w:r>
        <w:rPr>
          <w:rFonts w:hint="eastAsia"/>
        </w:rPr>
        <w:tab/>
        <w:t>書面により、本基本契約書上相手方に対して負う債務の存在を一部でも否認し、又はこれを支払う能力若しくは意思がないことを認めたとき</w:t>
      </w:r>
    </w:p>
    <w:p>
      <w:pPr>
        <w:pStyle w:val="J6"/>
      </w:pPr>
      <w:r>
        <w:rPr>
          <w:rFonts w:hint="eastAsia"/>
        </w:rPr>
        <w:t>⑽</w:t>
      </w:r>
      <w:r>
        <w:rPr>
          <w:rFonts w:hint="eastAsia"/>
        </w:rPr>
        <w:tab/>
        <w:t>前各号のほか、本基本契約書又は相手方との間の有価証券その他の取引に関し契約違反があり、相手方からの通知後５営業日以内に改善されないとき</w:t>
      </w:r>
    </w:p>
    <w:p>
      <w:pPr>
        <w:pStyle w:val="J6"/>
      </w:pPr>
      <w:r>
        <w:rPr>
          <w:rFonts w:hint="eastAsia"/>
        </w:rPr>
        <w:t>⑾</w:t>
      </w:r>
      <w:r>
        <w:rPr>
          <w:rFonts w:hint="eastAsia"/>
        </w:rPr>
        <w:tab/>
        <w:t>本基本契約に基づく債務に係る保証人が前各号のいずれかに該当するに至り、速やかにこれに代わる担保措置を講じなかったとき</w:t>
      </w:r>
    </w:p>
    <w:p>
      <w:pPr>
        <w:pStyle w:val="J3"/>
        <w:rPr>
          <w:color w:val="auto"/>
        </w:rPr>
      </w:pPr>
      <w:r>
        <w:rPr>
          <w:rFonts w:hint="eastAsia"/>
          <w:color w:val="auto"/>
        </w:rPr>
        <w:t>２</w:t>
      </w:r>
      <w:r>
        <w:rPr>
          <w:rFonts w:hint="eastAsia"/>
          <w:color w:val="auto"/>
        </w:rPr>
        <w:tab/>
        <w:t>前項に基づき個別現先取引が終了する場合、それぞれの個別現先取引についてのエンド取引受渡日が直ちに到来したものとみなし、すべての担保金（発生した未払いの利息を含む。以下、本項及び次項において同じ。）の返戻及び同種、同量の担保証券の引渡しの弁済期が到来したものとみなす。本項が適用される場合、同種、同量の債券等及び同種、同量の担保証券の引渡し、同種、同量の債券等に対するエンド売買金額の支払及び担保金の返戻に関する債務の履行は、次項に従ってのみなされるものとする。</w:t>
      </w:r>
    </w:p>
    <w:p>
      <w:pPr>
        <w:pStyle w:val="J3"/>
        <w:tabs>
          <w:tab w:val="clear" w:pos="320"/>
          <w:tab w:val="left" w:pos="284"/>
        </w:tabs>
        <w:ind w:left="159" w:hanging="159"/>
      </w:pPr>
      <w:r>
        <w:rPr>
          <w:rFonts w:hint="eastAsia"/>
          <w:color w:val="auto"/>
        </w:rPr>
        <w:t>３</w:t>
      </w:r>
      <w:r>
        <w:rPr>
          <w:rFonts w:hint="eastAsia"/>
          <w:color w:val="auto"/>
        </w:rPr>
        <w:tab/>
        <w:t>終了したすべての個別現先取引に関する両当事者の引き渡すべき同種、同量の債券等及び同種、同量の担保証券の債務不履行時時価総額、返戻すべき担保金の額並びに支払うべきエンド売買金額は、前項の規定に基づき到来したとみなされるエンド取引受渡日付の計算によって非債務不履行当事者により決定される（日本円によらない金額は、当該計算日における対顧客電信買相場により日本円に換算されるものとする。）。決定されたすべての金額について第１号の金額と第２号の金額を差引計算し、前者が後者を上回る場合には、債務不履行当事者は非債務不履行当事者に対して直ちにその差額を支払うものとし、前者が後者を下回る場合には、非債務不履行当事者は債務不履行当事者に対して直ちにその差額を支払うものとする。かかる場合、両当事者は、終了したすべての個別現先取引に関して、本条に定める義務を除く一切の義務から免れるものとする。</w:t>
      </w:r>
    </w:p>
    <w:p>
      <w:pPr>
        <w:pStyle w:val="J6"/>
      </w:pPr>
      <w:r>
        <w:rPr>
          <w:rFonts w:hint="eastAsia"/>
        </w:rPr>
        <w:t>⑴</w:t>
      </w:r>
      <w:r>
        <w:rPr>
          <w:rFonts w:hint="eastAsia"/>
        </w:rPr>
        <w:tab/>
        <w:t>①債務不履行当事者を売手とする終了したすべての個別現先取引に係るエンド売買金額、②債務不履行当事者を買手とする終了したすべての個別現先取引に基づき引き渡すべき同種、同量の債券等の債務不履行時時価総額、③すべての個別現先取引に基づき債務不履行当事者が履行すべき債務のうち未履行の金銭債務の額、未履行の債券等の引渡債務に係る当該債券等の債務不履行時時価総額及びこれらに係る遅延損害金の額並びに④返戻すべき同種、同量の担保証券の債務不履行時時価総額及び担保金の額（非債務不履行当事者が担保を差し入れていた場合に限る。）の合計額</w:t>
      </w:r>
    </w:p>
    <w:p>
      <w:pPr>
        <w:pStyle w:val="J6"/>
      </w:pPr>
      <w:r>
        <w:rPr>
          <w:rFonts w:hint="eastAsia"/>
        </w:rPr>
        <w:t>⑵</w:t>
      </w:r>
      <w:r>
        <w:rPr>
          <w:rFonts w:hint="eastAsia"/>
        </w:rPr>
        <w:tab/>
        <w:t>①非債務不履行当事者を売手とする終了したすべての個別現先取引に係るエンド売買金額、②非債務不履行当事者を買手とする終了したすべての個別現先取引に基づき引き渡すべき同種、同量の債券等の債務不履行時時価総額、③すべての個別現先取引に基づき非債務不履行当事者が履行すべき債務のうち未履行の金銭債務の額、未履行の債券等の引渡債務に係る当該債券等の債務不履行時時価総額及びこれらに係る遅延損害金の額並びに④返戻すべき同種、同量の担保証券の債務不履行時時価総額及び担保金の額（債務不履行当事者が担保を差し入れていた場合に限る。）の合計額</w:t>
      </w:r>
    </w:p>
    <w:p>
      <w:pPr>
        <w:pStyle w:val="J3"/>
        <w:rPr>
          <w:color w:val="auto"/>
        </w:rPr>
      </w:pPr>
      <w:r>
        <w:rPr>
          <w:rFonts w:hint="eastAsia"/>
          <w:color w:val="auto"/>
        </w:rPr>
        <w:t>４</w:t>
      </w:r>
      <w:r>
        <w:rPr>
          <w:rFonts w:hint="eastAsia"/>
          <w:color w:val="auto"/>
        </w:rPr>
        <w:tab/>
        <w:t>前項に基づく非債務不履行当事者による決定につき、スタート取引受渡日におけるスタート売買金額の支払及び取引対象債券等の引渡しが行われる前に終了した個別現先取引については、前項第１号①の「個別現先取引に係るエンド売買金額」と同第２号②の「個別現先取引に基づき引き渡すべき同種、同量の債券等の債務不履行時時価総額」は同額とみなすものとし、また同第１号②の「個別現先取引に基づき引き渡すべき同種、同量の債券等の債務不履行時時価総額」と同第２号①の「個別現先取引に係るエンド売買金額」は同額とみなすものとする。</w:t>
      </w:r>
    </w:p>
    <w:p>
      <w:pPr>
        <w:pStyle w:val="J3"/>
        <w:rPr>
          <w:color w:val="auto"/>
        </w:rPr>
      </w:pPr>
      <w:r>
        <w:rPr>
          <w:rFonts w:hint="eastAsia"/>
          <w:color w:val="auto"/>
        </w:rPr>
        <w:t>５</w:t>
      </w:r>
      <w:r>
        <w:rPr>
          <w:rFonts w:hint="eastAsia"/>
          <w:color w:val="auto"/>
        </w:rPr>
        <w:tab/>
        <w:t>債務不履行当事者は、第１項の規定に従ってすべての個別現先取引が終了することとなった場合には、非債務不履行当事者に対し、前二項に基づき計算された金銭の支払とは別に、終了したすべての個別現先取引について生じた損害を賠償するものとする。</w:t>
      </w:r>
    </w:p>
    <w:p>
      <w:pPr>
        <w:pStyle w:val="J3"/>
        <w:rPr>
          <w:color w:val="auto"/>
        </w:rPr>
      </w:pPr>
      <w:r>
        <w:rPr>
          <w:rFonts w:hint="eastAsia"/>
          <w:color w:val="auto"/>
        </w:rPr>
        <w:lastRenderedPageBreak/>
        <w:t>６</w:t>
      </w:r>
      <w:r>
        <w:rPr>
          <w:rFonts w:hint="eastAsia"/>
          <w:color w:val="auto"/>
        </w:rPr>
        <w:tab/>
        <w:t>各当事者は、債務不履行事由が自己に生じた場合、直ちに他方当事者に対して通知するものとする。</w:t>
      </w:r>
    </w:p>
    <w:p>
      <w:pPr>
        <w:pStyle w:val="J3"/>
        <w:rPr>
          <w:color w:val="auto"/>
        </w:rPr>
      </w:pPr>
      <w:r>
        <w:rPr>
          <w:rFonts w:hint="eastAsia"/>
          <w:color w:val="auto"/>
        </w:rPr>
        <w:t>第 12 条（フェイル発生時の処理）</w:t>
      </w:r>
    </w:p>
    <w:p>
      <w:pPr>
        <w:pStyle w:val="J3"/>
        <w:rPr>
          <w:color w:val="auto"/>
        </w:rPr>
      </w:pPr>
      <w:r>
        <w:rPr>
          <w:rFonts w:hint="eastAsia"/>
          <w:color w:val="auto"/>
        </w:rPr>
        <w:t>１</w:t>
      </w:r>
      <w:r>
        <w:rPr>
          <w:rFonts w:hint="eastAsia"/>
          <w:color w:val="auto"/>
        </w:rPr>
        <w:tab/>
        <w:t>個別現先取引に関し、売手がスタート取引受渡日において買手に対して取引対象債券等を引き渡さなかった場合、買手は、売手により当該取引対象債券等の引渡しがなされるまでの間（以下「スタートフェイル期間」という。）、当該個別現先取引に関して次の各号に</w:t>
      </w:r>
      <w:r>
        <w:rPr>
          <w:rFonts w:hAnsi="ＭＳ 明朝" w:hint="eastAsia"/>
          <w:color w:val="auto"/>
        </w:rPr>
        <w:t>掲げる措置</w:t>
      </w:r>
      <w:r>
        <w:rPr>
          <w:rFonts w:hint="eastAsia"/>
          <w:color w:val="auto"/>
        </w:rPr>
        <w:t>をとることができる。</w:t>
      </w:r>
    </w:p>
    <w:p>
      <w:pPr>
        <w:pStyle w:val="J6"/>
      </w:pPr>
      <w:r>
        <w:rPr>
          <w:rFonts w:hint="eastAsia"/>
        </w:rPr>
        <w:t>⑴</w:t>
      </w:r>
      <w:r>
        <w:tab/>
      </w:r>
      <w:r>
        <w:rPr>
          <w:rFonts w:hint="eastAsia"/>
        </w:rPr>
        <w:t>売手に対しスタート売買金額を支払済みの場合、売手に対し支払った金額の返還を請求すること。かかる請求がなされた場合、売手は、直ちに買手に対し当該額の金銭の支払を行うものとする。</w:t>
      </w:r>
    </w:p>
    <w:p>
      <w:pPr>
        <w:pStyle w:val="J6"/>
      </w:pPr>
      <w:r>
        <w:rPr>
          <w:rFonts w:hint="eastAsia"/>
        </w:rPr>
        <w:t>⑵</w:t>
      </w:r>
      <w:r>
        <w:tab/>
      </w:r>
      <w:r>
        <w:rPr>
          <w:rFonts w:hint="eastAsia"/>
        </w:rPr>
        <w:t>売手が当該個別現先取引に関し買手に対して個別取引与信額を有する場合、第７条第１項の規定にかかわらず、売手に対し当該個別取引与信額と同額の担保金の差入れを請求すること。かかる請求を受けた場合、売手は、直ちに買手に対し</w:t>
      </w:r>
      <w:r>
        <w:rPr>
          <w:rFonts w:hAnsi="ＭＳ 明朝" w:hint="eastAsia"/>
        </w:rPr>
        <w:t>当該額の</w:t>
      </w:r>
      <w:r>
        <w:rPr>
          <w:rFonts w:hint="eastAsia"/>
        </w:rPr>
        <w:t>担保金の差入れを行うものとする。なお、売手が当該担保金の差入れを行った場合、売手は、スタートフェイル期間において当該担保金に相当する担保の返戻を請求することはできない。</w:t>
      </w:r>
    </w:p>
    <w:p>
      <w:pPr>
        <w:pStyle w:val="J6"/>
      </w:pPr>
      <w:r>
        <w:rPr>
          <w:rFonts w:hint="eastAsia"/>
        </w:rPr>
        <w:t>⑶</w:t>
      </w:r>
      <w:r>
        <w:tab/>
      </w:r>
      <w:r>
        <w:rPr>
          <w:rFonts w:hint="eastAsia"/>
        </w:rPr>
        <w:t>売手に対して書面による通知を発することにより、当該個別現先取引を終了させること。当該通知により当該個別現先取引が終了した場合、①売手及び買手の取引対象債券等及び同種、同量の債券等の引渡しに関する債務は消滅するものとし、②取引終了日におけるエンド売買金額からスタート売買金額を控除した額が、正の数である場合にはそれに等しい額の金銭を売手が買手に対し支払うものとし、負の数である場合にはその絶対値に相当する額の金銭を買手が売手に対して支払うものとする。</w:t>
      </w:r>
    </w:p>
    <w:p>
      <w:pPr>
        <w:pStyle w:val="J3"/>
        <w:rPr>
          <w:color w:val="auto"/>
        </w:rPr>
      </w:pPr>
      <w:r>
        <w:rPr>
          <w:rFonts w:hint="eastAsia"/>
          <w:color w:val="auto"/>
        </w:rPr>
        <w:t>２</w:t>
      </w:r>
      <w:r>
        <w:rPr>
          <w:rFonts w:hint="eastAsia"/>
          <w:color w:val="auto"/>
        </w:rPr>
        <w:tab/>
        <w:t>個別現先取引に関し、買手がエンド取引受渡日に売手に対して同種、同量の債券等を引き渡さなかった場合、売手は、買手により当該同種、同量の債券等の引渡しがなされるまでの間（以下「エンドフェイル期間」という。）、当該個別現先取引に関して次の各号に</w:t>
      </w:r>
      <w:r>
        <w:rPr>
          <w:rFonts w:hAnsi="ＭＳ 明朝" w:hint="eastAsia"/>
          <w:color w:val="auto"/>
        </w:rPr>
        <w:t>掲げる</w:t>
      </w:r>
      <w:r>
        <w:rPr>
          <w:rFonts w:hint="eastAsia"/>
          <w:color w:val="auto"/>
        </w:rPr>
        <w:t>措置をとることができる。</w:t>
      </w:r>
    </w:p>
    <w:p>
      <w:pPr>
        <w:pStyle w:val="J6"/>
      </w:pPr>
      <w:r>
        <w:rPr>
          <w:rFonts w:hint="eastAsia"/>
        </w:rPr>
        <w:t>⑴</w:t>
      </w:r>
      <w:r>
        <w:tab/>
      </w:r>
      <w:r>
        <w:rPr>
          <w:rFonts w:hint="eastAsia"/>
        </w:rPr>
        <w:t>買手に対しエンド売買金額を支払済みの場合、買手に対し支払った金額の返還を請求すること。かかる請求がなされた場合、買手は、直ちに売手に対し当該金額の支払を行うものとする。</w:t>
      </w:r>
    </w:p>
    <w:p>
      <w:pPr>
        <w:pStyle w:val="J6"/>
      </w:pPr>
      <w:r>
        <w:rPr>
          <w:rFonts w:hint="eastAsia"/>
        </w:rPr>
        <w:t>⑵</w:t>
      </w:r>
      <w:r>
        <w:tab/>
      </w:r>
      <w:r>
        <w:rPr>
          <w:rFonts w:hint="eastAsia"/>
        </w:rPr>
        <w:t>売手が当該個別現先取引に関し買手に対して個別取引与信額を有する場合、第７条第１項の規定にかかわらず、買手に対し当該個別取引与信額と同額の担保金の差入れを請求すること。</w:t>
      </w:r>
      <w:r>
        <w:rPr>
          <w:rFonts w:hAnsi="ＭＳ 明朝" w:hint="eastAsia"/>
        </w:rPr>
        <w:t>かかる請求を受けた場合、買手は、直ちに売手に対し当該額の担保金の差入れを行うものとする。なお、買手が当該担保金の差入れを行った場合</w:t>
      </w:r>
      <w:r>
        <w:rPr>
          <w:rFonts w:hint="eastAsia"/>
        </w:rPr>
        <w:t>、買手は、当該担保金に相当する担保の返戻を請求することはできない。</w:t>
      </w:r>
    </w:p>
    <w:p>
      <w:pPr>
        <w:pStyle w:val="J6"/>
      </w:pPr>
      <w:r>
        <w:rPr>
          <w:rFonts w:hint="eastAsia"/>
        </w:rPr>
        <w:t>⑶</w:t>
      </w:r>
      <w:r>
        <w:tab/>
      </w:r>
      <w:r>
        <w:rPr>
          <w:rFonts w:hint="eastAsia"/>
        </w:rPr>
        <w:t>買手に対して書面による通知を発することにより、当該個別現先取引を終了させること。当該通知により当該個別現先取引が終了した場合、前条第２項の規定（担保金の移転及び同種、同量の担保証券の引渡しに言及する部分を除く。）を準用する。</w:t>
      </w:r>
    </w:p>
    <w:p>
      <w:pPr>
        <w:pStyle w:val="J3"/>
        <w:rPr>
          <w:color w:val="auto"/>
        </w:rPr>
      </w:pPr>
      <w:r>
        <w:rPr>
          <w:rFonts w:hint="eastAsia"/>
          <w:color w:val="auto"/>
        </w:rPr>
        <w:t>３</w:t>
      </w:r>
      <w:r>
        <w:rPr>
          <w:rFonts w:hint="eastAsia"/>
          <w:color w:val="auto"/>
        </w:rPr>
        <w:tab/>
        <w:t>取引対象債券等又は同種、同量の債券等の引渡債務が履行されなかった場合、第１項における買手は売手に対し、また、前項における売手は買手に対し、それぞれ各項に定める金銭及び第13条に定める遅延損害金の支払を除き、当該個別現先取引について生じた損害の賠償を請求できないものとする。</w:t>
      </w:r>
    </w:p>
    <w:p>
      <w:pPr>
        <w:pStyle w:val="J3"/>
        <w:rPr>
          <w:color w:val="auto"/>
        </w:rPr>
      </w:pPr>
      <w:r>
        <w:rPr>
          <w:rFonts w:hint="eastAsia"/>
          <w:color w:val="auto"/>
        </w:rPr>
        <w:t>４</w:t>
      </w:r>
      <w:r>
        <w:rPr>
          <w:rFonts w:hint="eastAsia"/>
          <w:color w:val="auto"/>
        </w:rPr>
        <w:tab/>
        <w:t>各当事者は、取引対象債券等又は同種、同量の債券等の引渡しが指定された期日に履行できない場合、直ちに他方当事者に対して通知するものとする。</w:t>
      </w:r>
    </w:p>
    <w:p>
      <w:pPr>
        <w:pStyle w:val="J3"/>
        <w:rPr>
          <w:color w:val="auto"/>
          <w:shd w:val="pct15" w:color="auto" w:fill="FFFFFF"/>
        </w:rPr>
      </w:pPr>
      <w:r>
        <w:rPr>
          <w:rFonts w:hint="eastAsia"/>
          <w:color w:val="auto"/>
        </w:rPr>
        <w:t>５</w:t>
      </w:r>
      <w:r>
        <w:rPr>
          <w:rFonts w:hint="eastAsia"/>
          <w:color w:val="auto"/>
        </w:rPr>
        <w:tab/>
        <w:t>スタートフェイル期間中、純与信額の計算については、当該個別現先取引に係る取引対象債券等の引渡しが行われたものとみなして計算された個別取引与信額を算入するものとする。</w:t>
      </w:r>
    </w:p>
    <w:p>
      <w:pPr>
        <w:pStyle w:val="J3"/>
        <w:rPr>
          <w:color w:val="auto"/>
        </w:rPr>
      </w:pPr>
      <w:r>
        <w:rPr>
          <w:rFonts w:hint="eastAsia"/>
          <w:color w:val="auto"/>
        </w:rPr>
        <w:t>６</w:t>
      </w:r>
      <w:r>
        <w:rPr>
          <w:rFonts w:hint="eastAsia"/>
          <w:color w:val="auto"/>
        </w:rPr>
        <w:tab/>
        <w:t>エンドフェイル期間中、純与信額の計算については、当該個別現先取引に係る個別取引与信額を算入しないものとする。</w:t>
      </w:r>
    </w:p>
    <w:p>
      <w:pPr>
        <w:pStyle w:val="J3"/>
        <w:rPr>
          <w:color w:val="auto"/>
        </w:rPr>
      </w:pPr>
      <w:r>
        <w:rPr>
          <w:rFonts w:hint="eastAsia"/>
          <w:color w:val="auto"/>
        </w:rPr>
        <w:t>第 13 条（遅延損害金）</w:t>
      </w:r>
      <w:r>
        <w:rPr>
          <w:color w:val="auto"/>
        </w:rPr>
        <w:br/>
      </w:r>
      <w:r>
        <w:rPr>
          <w:rFonts w:hint="eastAsia"/>
          <w:color w:val="auto"/>
        </w:rPr>
        <w:t xml:space="preserve">　本基本契約に基づいて一方当事者が他方当事者に支払うべき金銭又は引き渡すべき有価証券の支払又は引渡しが、本基本契約に基づく履行期日又は両当事者が合意した日に行われなかった場合には、当該当事者は当該日の翌日（当日を含む。）から支払又は引渡しに至るまで（当日を含む。）の間、①金銭の場合は当該金銭、②有価証券の場合は本来の履行期日若しくは両当事者が合意した日における時価総額又は実際の引渡日の時価総額のいずれか高い価額に、それぞれ年利率[●]％（１年を365日とする日割り計算）の割合による遅延損害金を加算した金額を支払うものとする。ただし、有価証券の引渡しがなされなかった場合の手続は、別途市場慣行があればそれに従うものとする。</w:t>
      </w:r>
    </w:p>
    <w:p>
      <w:pPr>
        <w:pStyle w:val="J3"/>
        <w:rPr>
          <w:color w:val="auto"/>
        </w:rPr>
      </w:pPr>
      <w:r>
        <w:rPr>
          <w:rFonts w:hint="eastAsia"/>
          <w:color w:val="auto"/>
        </w:rPr>
        <w:t>第 14 条（取引期間中途の取引終了）</w:t>
      </w:r>
    </w:p>
    <w:p>
      <w:pPr>
        <w:pStyle w:val="J3"/>
        <w:rPr>
          <w:color w:val="auto"/>
        </w:rPr>
      </w:pPr>
      <w:r>
        <w:rPr>
          <w:rFonts w:hint="eastAsia"/>
          <w:color w:val="auto"/>
        </w:rPr>
        <w:t>１</w:t>
      </w:r>
      <w:r>
        <w:rPr>
          <w:rFonts w:hint="eastAsia"/>
          <w:color w:val="auto"/>
        </w:rPr>
        <w:tab/>
        <w:t>両当事者は、その合意により、エンド取引受渡日の前日以前において個別現先取引を終了することができる。この場合、</w:t>
      </w:r>
      <w:r>
        <w:rPr>
          <w:rFonts w:hint="eastAsia"/>
          <w:color w:val="auto"/>
        </w:rPr>
        <w:lastRenderedPageBreak/>
        <w:t>当該中途取引終了日をエンド取引受渡日とみなし、次項に定めるエンド売買金額によりエンド取引を行うものとする。</w:t>
      </w:r>
    </w:p>
    <w:p>
      <w:pPr>
        <w:pStyle w:val="J3"/>
        <w:rPr>
          <w:color w:val="auto"/>
        </w:rPr>
      </w:pPr>
      <w:r>
        <w:rPr>
          <w:rFonts w:hint="eastAsia"/>
          <w:color w:val="auto"/>
        </w:rPr>
        <w:t>２</w:t>
      </w:r>
      <w:r>
        <w:rPr>
          <w:rFonts w:hint="eastAsia"/>
          <w:color w:val="auto"/>
        </w:rPr>
        <w:tab/>
        <w:t>前項のエンド売買金額は、取引終了日をエンド取引受渡日とみなして各別紙に定める計算方法に従い算出される金額とする。</w:t>
      </w:r>
    </w:p>
    <w:p>
      <w:pPr>
        <w:pStyle w:val="J3"/>
        <w:rPr>
          <w:color w:val="auto"/>
        </w:rPr>
      </w:pPr>
      <w:r>
        <w:rPr>
          <w:rFonts w:hint="eastAsia"/>
          <w:color w:val="auto"/>
        </w:rPr>
        <w:t>第 15 条（</w:t>
      </w:r>
      <w:r>
        <w:rPr>
          <w:rFonts w:hint="eastAsia"/>
          <w:color w:val="auto"/>
          <w:spacing w:val="26"/>
          <w:kern w:val="0"/>
          <w:fitText w:val="800" w:id="-708134140"/>
        </w:rPr>
        <w:t>差引計</w:t>
      </w:r>
      <w:r>
        <w:rPr>
          <w:rFonts w:hint="eastAsia"/>
          <w:color w:val="auto"/>
          <w:spacing w:val="2"/>
          <w:kern w:val="0"/>
          <w:fitText w:val="800" w:id="-708134140"/>
        </w:rPr>
        <w:t>算</w:t>
      </w:r>
      <w:r>
        <w:rPr>
          <w:rFonts w:hint="eastAsia"/>
          <w:color w:val="auto"/>
        </w:rPr>
        <w:t>）</w:t>
      </w:r>
    </w:p>
    <w:p>
      <w:pPr>
        <w:pStyle w:val="J3"/>
        <w:rPr>
          <w:color w:val="auto"/>
        </w:rPr>
      </w:pPr>
      <w:r>
        <w:rPr>
          <w:rFonts w:hint="eastAsia"/>
          <w:color w:val="auto"/>
        </w:rPr>
        <w:t>１</w:t>
      </w:r>
      <w:r>
        <w:rPr>
          <w:rFonts w:hint="eastAsia"/>
          <w:color w:val="auto"/>
        </w:rPr>
        <w:tab/>
        <w:t>非債務不履行当事者は、第11条に基づき債務不履行当事者に対して有することとなった金銭債権又は債務と、債務不履行当事者に対する金銭債務又は債権（本基本契約に基づくと否とを問わない。）とを、その期限のいかんにかかわらず、いつでも相殺することができる。</w:t>
      </w:r>
    </w:p>
    <w:p>
      <w:pPr>
        <w:pStyle w:val="J3"/>
        <w:rPr>
          <w:color w:val="auto"/>
        </w:rPr>
      </w:pPr>
      <w:r>
        <w:rPr>
          <w:rFonts w:hint="eastAsia"/>
          <w:color w:val="auto"/>
        </w:rPr>
        <w:t>２</w:t>
      </w:r>
      <w:r>
        <w:rPr>
          <w:rFonts w:hint="eastAsia"/>
          <w:color w:val="auto"/>
        </w:rPr>
        <w:tab/>
        <w:t>前項の相殺に加え、非債務不履行当事者は事前の通知及び所定の手続を省略し、債務不履行当事者に代わって諸預け金の払戻しを受け、債務不履行当事者の債務の弁済に充当することができる。</w:t>
      </w:r>
    </w:p>
    <w:p>
      <w:pPr>
        <w:pStyle w:val="J3"/>
        <w:rPr>
          <w:color w:val="auto"/>
        </w:rPr>
      </w:pPr>
      <w:r>
        <w:rPr>
          <w:rFonts w:hint="eastAsia"/>
          <w:color w:val="auto"/>
        </w:rPr>
        <w:t>３</w:t>
      </w:r>
      <w:r>
        <w:rPr>
          <w:rFonts w:hint="eastAsia"/>
          <w:color w:val="auto"/>
        </w:rPr>
        <w:tab/>
        <w:t>前二項によって差引計算を行う場合における債権又は債務の利息及び遅延損害金、その他の支払うべき金銭の計算については、その期間を計算実行の日までとする。</w:t>
      </w:r>
    </w:p>
    <w:p>
      <w:pPr>
        <w:pStyle w:val="J3"/>
        <w:rPr>
          <w:color w:val="auto"/>
        </w:rPr>
      </w:pPr>
      <w:r>
        <w:rPr>
          <w:rFonts w:hint="eastAsia"/>
          <w:color w:val="auto"/>
        </w:rPr>
        <w:t>４</w:t>
      </w:r>
      <w:r>
        <w:rPr>
          <w:rFonts w:hint="eastAsia"/>
          <w:color w:val="auto"/>
        </w:rPr>
        <w:tab/>
        <w:t>非債務不履行当事者は、第11条に基づき債務不履行当事者に対して金銭債権を有することとなった場合、当事者間の一切の取引に関して占有している動産、手形その他の有価証券を処分することができる。この場合、非債務不履行当事者は、債務不履行当事者の費用負担により、非債務不履行当事者が任意に決定した方法、時期、価格等により取立又は処分のうえ、その取立金額又は処分金額から諸費用を差し引いた残額を、法定の順序にかかわらず債務不履行当事者の債務の弁済に充当できるものとする。なお、債務不履行当事者に残債務がある場合には、債務不履行当事者は直ちに当該残債務を弁済するものとする。</w:t>
      </w:r>
    </w:p>
    <w:p>
      <w:pPr>
        <w:pStyle w:val="J3"/>
        <w:rPr>
          <w:color w:val="auto"/>
        </w:rPr>
      </w:pPr>
      <w:r>
        <w:rPr>
          <w:rFonts w:hint="eastAsia"/>
          <w:color w:val="auto"/>
        </w:rPr>
        <w:t>第 16 条（権利の譲渡、質入れ等の禁止）</w:t>
      </w:r>
      <w:r>
        <w:rPr>
          <w:color w:val="auto"/>
        </w:rPr>
        <w:br/>
      </w:r>
      <w:r>
        <w:rPr>
          <w:rFonts w:hint="eastAsia"/>
          <w:color w:val="auto"/>
        </w:rPr>
        <w:t xml:space="preserve">　本基本契約に基づく一切の権利は、他方当事者の同意を得た場合を除き、これを第三者に譲渡、質入れ又はその他一切の処分をすることができないものとする。</w:t>
      </w:r>
    </w:p>
    <w:p>
      <w:pPr>
        <w:pStyle w:val="J3"/>
        <w:rPr>
          <w:color w:val="auto"/>
        </w:rPr>
      </w:pPr>
      <w:r>
        <w:rPr>
          <w:rFonts w:hint="eastAsia"/>
          <w:color w:val="auto"/>
        </w:rPr>
        <w:t>第 17 条（</w:t>
      </w:r>
      <w:r>
        <w:rPr>
          <w:rFonts w:hint="eastAsia"/>
          <w:color w:val="auto"/>
          <w:spacing w:val="240"/>
          <w:kern w:val="0"/>
          <w:fitText w:val="800" w:id="-708134139"/>
        </w:rPr>
        <w:t>通</w:t>
      </w:r>
      <w:r>
        <w:rPr>
          <w:rFonts w:hint="eastAsia"/>
          <w:color w:val="auto"/>
          <w:kern w:val="0"/>
          <w:fitText w:val="800" w:id="-708134139"/>
        </w:rPr>
        <w:t>知</w:t>
      </w:r>
      <w:r>
        <w:rPr>
          <w:rFonts w:hint="eastAsia"/>
          <w:color w:val="auto"/>
        </w:rPr>
        <w:t>）</w:t>
      </w:r>
      <w:r>
        <w:rPr>
          <w:rStyle w:val="a7"/>
          <w:color w:val="auto"/>
        </w:rPr>
        <w:endnoteReference w:id="3"/>
      </w:r>
    </w:p>
    <w:p>
      <w:pPr>
        <w:pStyle w:val="J3"/>
        <w:rPr>
          <w:color w:val="auto"/>
        </w:rPr>
      </w:pPr>
      <w:r>
        <w:rPr>
          <w:rFonts w:hint="eastAsia"/>
          <w:color w:val="auto"/>
        </w:rPr>
        <w:t>１</w:t>
      </w:r>
      <w:r>
        <w:rPr>
          <w:rFonts w:hint="eastAsia"/>
          <w:color w:val="auto"/>
        </w:rPr>
        <w:tab/>
        <w:t>本基本契約に基づく通知は、当事者間に別段の定めがある場合を除き、電話その他当事者間で合意した方法により、以下の通知先に宛てて行う。下記の又は別途定める通知先に変更が生じた場合には、当該当事者は直ちに他方当事者に対し変更後の通知先を通知するものとする。</w:t>
      </w:r>
    </w:p>
    <w:p>
      <w:pPr>
        <w:pStyle w:val="J1"/>
        <w:ind w:firstLine="160"/>
        <w:rPr>
          <w:lang w:eastAsia="zh-CN"/>
        </w:rPr>
      </w:pPr>
      <w:r>
        <w:rPr>
          <w:rFonts w:hint="eastAsia"/>
          <w:lang w:eastAsia="zh-CN"/>
        </w:rPr>
        <w:t>甲　　会　社　名：</w:t>
      </w:r>
    </w:p>
    <w:p>
      <w:pPr>
        <w:pStyle w:val="J1"/>
        <w:ind w:firstLine="160"/>
        <w:rPr>
          <w:lang w:eastAsia="zh-CN"/>
        </w:rPr>
      </w:pPr>
      <w:r>
        <w:rPr>
          <w:rFonts w:hint="eastAsia"/>
          <w:lang w:eastAsia="zh-CN"/>
        </w:rPr>
        <w:t xml:space="preserve">　　　部　署　名：</w:t>
      </w:r>
    </w:p>
    <w:p>
      <w:pPr>
        <w:pStyle w:val="J1"/>
        <w:ind w:firstLine="160"/>
      </w:pPr>
      <w:r>
        <w:rPr>
          <w:rFonts w:hint="eastAsia"/>
          <w:lang w:eastAsia="zh-CN"/>
        </w:rPr>
        <w:t xml:space="preserve">　　　</w:t>
      </w:r>
      <w:r>
        <w:rPr>
          <w:rFonts w:hint="eastAsia"/>
        </w:rPr>
        <w:t>電　　　話：</w:t>
      </w:r>
    </w:p>
    <w:p>
      <w:pPr>
        <w:pStyle w:val="J1"/>
        <w:ind w:firstLine="160"/>
      </w:pPr>
      <w:r>
        <w:rPr>
          <w:rFonts w:hint="eastAsia"/>
        </w:rPr>
        <w:t xml:space="preserve">　　　[電子メール]</w:t>
      </w:r>
      <w:r>
        <w:rPr>
          <w:rStyle w:val="a7"/>
        </w:rPr>
        <w:endnoteReference w:id="4"/>
      </w:r>
      <w:r>
        <w:rPr>
          <w:rFonts w:hint="eastAsia"/>
        </w:rPr>
        <w:t>：</w:t>
      </w:r>
    </w:p>
    <w:p>
      <w:pPr>
        <w:pStyle w:val="J1"/>
        <w:ind w:firstLine="160"/>
      </w:pPr>
    </w:p>
    <w:p>
      <w:pPr>
        <w:pStyle w:val="J1"/>
        <w:ind w:firstLine="160"/>
        <w:rPr>
          <w:lang w:eastAsia="zh-CN"/>
        </w:rPr>
      </w:pPr>
      <w:r>
        <w:rPr>
          <w:rFonts w:hint="eastAsia"/>
          <w:lang w:eastAsia="zh-CN"/>
        </w:rPr>
        <w:t>乙　　会　社　名：</w:t>
      </w:r>
    </w:p>
    <w:p>
      <w:pPr>
        <w:pStyle w:val="J1"/>
        <w:ind w:firstLine="160"/>
        <w:rPr>
          <w:lang w:eastAsia="zh-CN"/>
        </w:rPr>
      </w:pPr>
      <w:r>
        <w:rPr>
          <w:rFonts w:hint="eastAsia"/>
          <w:lang w:eastAsia="zh-CN"/>
        </w:rPr>
        <w:t xml:space="preserve">　　　部　署　名：</w:t>
      </w:r>
    </w:p>
    <w:p>
      <w:pPr>
        <w:pStyle w:val="J1"/>
        <w:ind w:firstLine="160"/>
      </w:pPr>
      <w:r>
        <w:rPr>
          <w:rFonts w:hint="eastAsia"/>
          <w:lang w:eastAsia="zh-CN"/>
        </w:rPr>
        <w:t xml:space="preserve">　　　</w:t>
      </w:r>
      <w:r>
        <w:rPr>
          <w:rFonts w:hint="eastAsia"/>
        </w:rPr>
        <w:t>電　　　話：</w:t>
      </w:r>
    </w:p>
    <w:p>
      <w:pPr>
        <w:pStyle w:val="J1"/>
        <w:ind w:firstLine="160"/>
      </w:pPr>
      <w:r>
        <w:rPr>
          <w:rFonts w:hint="eastAsia"/>
        </w:rPr>
        <w:t xml:space="preserve">　　　[電子メール]</w:t>
      </w:r>
      <w:r>
        <w:rPr>
          <w:rStyle w:val="a7"/>
        </w:rPr>
        <w:endnoteReference w:id="5"/>
      </w:r>
      <w:r>
        <w:rPr>
          <w:rFonts w:hint="eastAsia"/>
        </w:rPr>
        <w:t>：</w:t>
      </w:r>
    </w:p>
    <w:p>
      <w:pPr>
        <w:pStyle w:val="J3"/>
        <w:rPr>
          <w:color w:val="auto"/>
        </w:rPr>
      </w:pPr>
      <w:r>
        <w:rPr>
          <w:rFonts w:hint="eastAsia"/>
          <w:color w:val="auto"/>
        </w:rPr>
        <w:t>２</w:t>
      </w:r>
      <w:r>
        <w:rPr>
          <w:rFonts w:hint="eastAsia"/>
          <w:color w:val="auto"/>
        </w:rPr>
        <w:tab/>
        <w:t>当事者が前項又は別途定める他方当事者の通知先に宛てて行った一切の意思表示又は通知は、当事者間に別段の定めがある場合を除き、通常到達すべき時期に当該他方当事者に到達したものとみなす。</w:t>
      </w:r>
    </w:p>
    <w:p>
      <w:pPr>
        <w:pStyle w:val="J3"/>
        <w:rPr>
          <w:color w:val="auto"/>
        </w:rPr>
      </w:pPr>
      <w:r>
        <w:rPr>
          <w:rFonts w:hint="eastAsia"/>
          <w:color w:val="auto"/>
        </w:rPr>
        <w:t>第 18 条（報告及び調査）</w:t>
      </w:r>
      <w:r>
        <w:rPr>
          <w:color w:val="auto"/>
        </w:rPr>
        <w:br/>
      </w:r>
      <w:r>
        <w:rPr>
          <w:rFonts w:hint="eastAsia"/>
          <w:color w:val="auto"/>
        </w:rPr>
        <w:t xml:space="preserve">　当事者は、その財産、経営及び業況について他方当事者から書面により正当な理由を付して請求があったときは、客観的に必要な限度で報告し、また調査に必要な便益を提供するものとする。</w:t>
      </w:r>
    </w:p>
    <w:p>
      <w:pPr>
        <w:pStyle w:val="J3"/>
        <w:rPr>
          <w:color w:val="auto"/>
        </w:rPr>
      </w:pPr>
      <w:r>
        <w:rPr>
          <w:rFonts w:hint="eastAsia"/>
          <w:color w:val="auto"/>
        </w:rPr>
        <w:t>第 19 条（</w:t>
      </w:r>
      <w:r>
        <w:rPr>
          <w:rFonts w:hint="eastAsia"/>
          <w:color w:val="auto"/>
          <w:kern w:val="0"/>
        </w:rPr>
        <w:t>反社会的勢力の排除</w:t>
      </w:r>
      <w:r>
        <w:rPr>
          <w:rFonts w:hint="eastAsia"/>
          <w:color w:val="auto"/>
        </w:rPr>
        <w:t>）</w:t>
      </w:r>
    </w:p>
    <w:p>
      <w:pPr>
        <w:pStyle w:val="J3"/>
        <w:rPr>
          <w:color w:val="auto"/>
        </w:rPr>
      </w:pPr>
      <w:r>
        <w:rPr>
          <w:rFonts w:hint="eastAsia"/>
          <w:color w:val="auto"/>
        </w:rPr>
        <w:t>１</w:t>
      </w:r>
      <w:r>
        <w:rPr>
          <w:rFonts w:hint="eastAsia"/>
          <w:color w:val="auto"/>
        </w:rPr>
        <w:tab/>
        <w:t>各当事者は、次の各号に掲げる事項が真実かつ正確であることを表明し、かつ保証する。</w:t>
      </w:r>
    </w:p>
    <w:p>
      <w:pPr>
        <w:pStyle w:val="J6"/>
      </w:pPr>
      <w:r>
        <w:rPr>
          <w:rFonts w:hint="eastAsia"/>
        </w:rPr>
        <w:t>⑴</w:t>
      </w:r>
      <w:r>
        <w:rPr>
          <w:rFonts w:hint="eastAsia"/>
        </w:rPr>
        <w:tab/>
        <w:t>自らが反社会的勢力（日本証券業協会が定める定款の施行に関する規則第15条に定める反社会的勢力をいう。以下同じ。）でないこと</w:t>
      </w:r>
    </w:p>
    <w:p>
      <w:pPr>
        <w:pStyle w:val="J6"/>
      </w:pPr>
      <w:r>
        <w:rPr>
          <w:rFonts w:hint="eastAsia"/>
        </w:rPr>
        <w:t>⑵</w:t>
      </w:r>
      <w:r>
        <w:rPr>
          <w:rFonts w:hint="eastAsia"/>
        </w:rPr>
        <w:tab/>
        <w:t>直接・間接を問わず、自らの経営に反社会的勢力が関与していないこと</w:t>
      </w:r>
    </w:p>
    <w:p>
      <w:pPr>
        <w:pStyle w:val="J6"/>
      </w:pPr>
      <w:r>
        <w:rPr>
          <w:rFonts w:hint="eastAsia"/>
        </w:rPr>
        <w:t>⑶</w:t>
      </w:r>
      <w:r>
        <w:rPr>
          <w:rFonts w:hint="eastAsia"/>
        </w:rPr>
        <w:tab/>
        <w:t>自らの役職員が反社会的勢力に属していないこと</w:t>
      </w:r>
    </w:p>
    <w:p>
      <w:pPr>
        <w:pStyle w:val="J3"/>
        <w:rPr>
          <w:color w:val="auto"/>
        </w:rPr>
      </w:pPr>
      <w:r>
        <w:rPr>
          <w:rFonts w:hint="eastAsia"/>
          <w:color w:val="auto"/>
        </w:rPr>
        <w:t>２</w:t>
      </w:r>
      <w:r>
        <w:rPr>
          <w:rFonts w:hint="eastAsia"/>
          <w:color w:val="auto"/>
        </w:rPr>
        <w:tab/>
        <w:t>各当事者は、現在及び将来にわたり次の各号に</w:t>
      </w:r>
      <w:r>
        <w:rPr>
          <w:rFonts w:hAnsi="ＭＳ 明朝" w:hint="eastAsia"/>
          <w:color w:val="auto"/>
        </w:rPr>
        <w:t>掲げる</w:t>
      </w:r>
      <w:r>
        <w:rPr>
          <w:rFonts w:hint="eastAsia"/>
          <w:color w:val="auto"/>
        </w:rPr>
        <w:t>行為を行わないことを表明し、かつ保証する。</w:t>
      </w:r>
    </w:p>
    <w:p>
      <w:pPr>
        <w:pStyle w:val="J6"/>
      </w:pPr>
      <w:r>
        <w:rPr>
          <w:rFonts w:hint="eastAsia"/>
        </w:rPr>
        <w:lastRenderedPageBreak/>
        <w:t>⑴</w:t>
      </w:r>
      <w:r>
        <w:rPr>
          <w:rFonts w:hint="eastAsia"/>
        </w:rPr>
        <w:tab/>
        <w:t>暴力的な要求行為</w:t>
      </w:r>
    </w:p>
    <w:p>
      <w:pPr>
        <w:pStyle w:val="J6"/>
      </w:pPr>
      <w:r>
        <w:rPr>
          <w:rFonts w:hint="eastAsia"/>
        </w:rPr>
        <w:t>⑵</w:t>
      </w:r>
      <w:r>
        <w:rPr>
          <w:rFonts w:hint="eastAsia"/>
        </w:rPr>
        <w:tab/>
        <w:t>法的な責任を超えた不当な要求行為</w:t>
      </w:r>
    </w:p>
    <w:p>
      <w:pPr>
        <w:pStyle w:val="J3"/>
        <w:rPr>
          <w:color w:val="auto"/>
        </w:rPr>
      </w:pPr>
      <w:r>
        <w:rPr>
          <w:rFonts w:hint="eastAsia"/>
          <w:color w:val="auto"/>
        </w:rPr>
        <w:t>３</w:t>
      </w:r>
      <w:r>
        <w:rPr>
          <w:rFonts w:hint="eastAsia"/>
          <w:color w:val="auto"/>
        </w:rPr>
        <w:tab/>
        <w:t>各当事者は、前二項に定める表明事項につき、不真実又は不正確であったことが判明した場合には、直ちにその旨及びその内容を他方当事者に報告するものとする。</w:t>
      </w:r>
    </w:p>
    <w:p>
      <w:pPr>
        <w:pStyle w:val="J3"/>
        <w:rPr>
          <w:color w:val="auto"/>
        </w:rPr>
      </w:pPr>
      <w:r>
        <w:rPr>
          <w:rFonts w:hint="eastAsia"/>
          <w:color w:val="auto"/>
        </w:rPr>
        <w:t>４</w:t>
      </w:r>
      <w:r>
        <w:rPr>
          <w:rFonts w:hint="eastAsia"/>
          <w:color w:val="auto"/>
        </w:rPr>
        <w:tab/>
        <w:t>各当事者は、他方当事者につき次の各号に掲げる事由が発生した場合、当該他方当事者に対する通知により、本基本契約及びすべての個別現先取引を終了させることができる。</w:t>
      </w:r>
    </w:p>
    <w:p>
      <w:pPr>
        <w:pStyle w:val="J6"/>
      </w:pPr>
      <w:r>
        <w:rPr>
          <w:rFonts w:hint="eastAsia"/>
        </w:rPr>
        <w:t>⑴</w:t>
      </w:r>
      <w:r>
        <w:rPr>
          <w:rFonts w:hint="eastAsia"/>
        </w:rPr>
        <w:tab/>
        <w:t>第１項及び第２項に定める表明事項のいずれかにつき、不真実又は不正確であったことが判明したとき</w:t>
      </w:r>
    </w:p>
    <w:p>
      <w:pPr>
        <w:pStyle w:val="J6"/>
      </w:pPr>
      <w:r>
        <w:rPr>
          <w:rFonts w:hint="eastAsia"/>
        </w:rPr>
        <w:t>⑵</w:t>
      </w:r>
      <w:r>
        <w:rPr>
          <w:rFonts w:hint="eastAsia"/>
        </w:rPr>
        <w:tab/>
        <w:t>第１項各号に定める事項のいずれかに該当しなくなったとき</w:t>
      </w:r>
    </w:p>
    <w:p>
      <w:pPr>
        <w:pStyle w:val="J6"/>
      </w:pPr>
      <w:r>
        <w:rPr>
          <w:rFonts w:hint="eastAsia"/>
        </w:rPr>
        <w:t>⑶</w:t>
      </w:r>
      <w:r>
        <w:rPr>
          <w:rFonts w:hint="eastAsia"/>
        </w:rPr>
        <w:tab/>
        <w:t>第２項各号に定める事項のいずれかに該当する行為を行ったとき</w:t>
      </w:r>
    </w:p>
    <w:p>
      <w:pPr>
        <w:pStyle w:val="J6"/>
        <w:ind w:left="141" w:hangingChars="88" w:hanging="141"/>
      </w:pPr>
      <w:r>
        <w:rPr>
          <w:rFonts w:hint="eastAsia"/>
        </w:rPr>
        <w:t>５</w:t>
      </w:r>
      <w:r>
        <w:rPr>
          <w:rFonts w:hint="eastAsia"/>
        </w:rPr>
        <w:tab/>
        <w:t>前項の規定に基づく通知による終了は、当該他方当事者に対する通知の発送の日に効力が生じるものとし、第11条第２項から第４項の規定（各別紙における別段の定めがある場合はこれを含む。）を準用する（この場合、当該他方当事者を債務不履行当事者と、通知を行った当事者を非債務不履行当事者とみなす。）。ただし、本項の規定並びに本項の規定により準用される第11条第２項から第４項、第12条、第13条、第15条、第20条及び第21条の規定（各別紙における別段の定めがある場合はこれを含む。）は、本基本契約の終了後も有効に存続するものとする。</w:t>
      </w:r>
    </w:p>
    <w:p>
      <w:pPr>
        <w:pStyle w:val="J3"/>
        <w:rPr>
          <w:color w:val="auto"/>
        </w:rPr>
      </w:pPr>
      <w:r>
        <w:rPr>
          <w:rFonts w:hint="eastAsia"/>
          <w:color w:val="auto"/>
        </w:rPr>
        <w:t>第 20 条（</w:t>
      </w:r>
      <w:r>
        <w:rPr>
          <w:rFonts w:hint="eastAsia"/>
          <w:color w:val="auto"/>
          <w:spacing w:val="26"/>
          <w:kern w:val="0"/>
          <w:fitText w:val="800" w:id="-708134138"/>
        </w:rPr>
        <w:t>合意管</w:t>
      </w:r>
      <w:r>
        <w:rPr>
          <w:rFonts w:hint="eastAsia"/>
          <w:color w:val="auto"/>
          <w:spacing w:val="2"/>
          <w:kern w:val="0"/>
          <w:fitText w:val="800" w:id="-708134138"/>
        </w:rPr>
        <w:t>轄</w:t>
      </w:r>
      <w:r>
        <w:rPr>
          <w:rFonts w:hint="eastAsia"/>
          <w:color w:val="auto"/>
        </w:rPr>
        <w:t>）</w:t>
      </w:r>
      <w:r>
        <w:rPr>
          <w:color w:val="auto"/>
        </w:rPr>
        <w:br/>
      </w:r>
      <w:r>
        <w:rPr>
          <w:rFonts w:hint="eastAsia"/>
          <w:color w:val="auto"/>
        </w:rPr>
        <w:t xml:space="preserve">　両当事者は、本基本契約から生じる権利義務に関し争いが生じたときは、［○○地方裁判所］を専属的管轄裁判所とすることに合意する。</w:t>
      </w:r>
    </w:p>
    <w:p>
      <w:pPr>
        <w:pStyle w:val="J3"/>
        <w:rPr>
          <w:color w:val="auto"/>
        </w:rPr>
      </w:pPr>
      <w:r>
        <w:rPr>
          <w:rFonts w:hint="eastAsia"/>
          <w:color w:val="auto"/>
        </w:rPr>
        <w:t>第 21 条（</w:t>
      </w:r>
      <w:r>
        <w:rPr>
          <w:rFonts w:hint="eastAsia"/>
          <w:color w:val="auto"/>
          <w:spacing w:val="80"/>
          <w:kern w:val="0"/>
          <w:fitText w:val="800" w:id="-708134137"/>
        </w:rPr>
        <w:t>準拠</w:t>
      </w:r>
      <w:r>
        <w:rPr>
          <w:rFonts w:hint="eastAsia"/>
          <w:color w:val="auto"/>
          <w:kern w:val="0"/>
          <w:fitText w:val="800" w:id="-708134137"/>
        </w:rPr>
        <w:t>法</w:t>
      </w:r>
      <w:r>
        <w:rPr>
          <w:rFonts w:hint="eastAsia"/>
          <w:color w:val="auto"/>
        </w:rPr>
        <w:t>）</w:t>
      </w:r>
      <w:r>
        <w:rPr>
          <w:color w:val="auto"/>
        </w:rPr>
        <w:br/>
      </w:r>
      <w:r>
        <w:rPr>
          <w:rFonts w:hint="eastAsia"/>
          <w:color w:val="auto"/>
        </w:rPr>
        <w:t xml:space="preserve">　本基本契約の準拠法は日本法とする。</w:t>
      </w:r>
    </w:p>
    <w:p>
      <w:pPr>
        <w:pStyle w:val="J3"/>
        <w:rPr>
          <w:color w:val="auto"/>
        </w:rPr>
      </w:pPr>
      <w:r>
        <w:rPr>
          <w:rFonts w:hint="eastAsia"/>
          <w:color w:val="auto"/>
        </w:rPr>
        <w:t>第 22 条（</w:t>
      </w:r>
      <w:r>
        <w:rPr>
          <w:rFonts w:hint="eastAsia"/>
          <w:color w:val="auto"/>
          <w:spacing w:val="240"/>
          <w:kern w:val="0"/>
          <w:fitText w:val="800" w:id="-708134136"/>
        </w:rPr>
        <w:t>協</w:t>
      </w:r>
      <w:r>
        <w:rPr>
          <w:rFonts w:hint="eastAsia"/>
          <w:color w:val="auto"/>
          <w:kern w:val="0"/>
          <w:fitText w:val="800" w:id="-708134136"/>
        </w:rPr>
        <w:t>議</w:t>
      </w:r>
      <w:r>
        <w:rPr>
          <w:rFonts w:hint="eastAsia"/>
          <w:color w:val="auto"/>
        </w:rPr>
        <w:t>）</w:t>
      </w:r>
      <w:r>
        <w:rPr>
          <w:color w:val="auto"/>
        </w:rPr>
        <w:br/>
      </w:r>
      <w:r>
        <w:rPr>
          <w:rFonts w:hint="eastAsia"/>
          <w:color w:val="auto"/>
        </w:rPr>
        <w:t xml:space="preserve">　本基本契約に定めのない事項は、金融商品取引に関する法令、金融商品取引所及び日本証券業協会の諸規則、諸慣行の定めるところにより処理し、これらに定めなき事項に関しては、その都度甲乙協議のうえ決定する。</w:t>
      </w:r>
    </w:p>
    <w:p>
      <w:pPr>
        <w:pStyle w:val="J1"/>
        <w:ind w:firstLine="160"/>
      </w:pPr>
    </w:p>
    <w:p>
      <w:pPr>
        <w:pStyle w:val="J1"/>
        <w:ind w:firstLine="160"/>
      </w:pPr>
      <w:r>
        <w:rPr>
          <w:rFonts w:hint="eastAsia"/>
        </w:rPr>
        <w:t>本契約を証するため、本基本契約書２通を作成し、甲、乙各々記名捺印のうえ、各１通を保有する。</w:t>
      </w:r>
    </w:p>
    <w:p>
      <w:pPr>
        <w:pStyle w:val="J1"/>
        <w:ind w:firstLine="160"/>
      </w:pPr>
    </w:p>
    <w:p>
      <w:pPr>
        <w:pStyle w:val="J1"/>
        <w:ind w:firstLineChars="300" w:firstLine="480"/>
        <w:rPr>
          <w:lang w:eastAsia="zh-CN"/>
        </w:rPr>
      </w:pPr>
      <w:r>
        <w:rPr>
          <w:rFonts w:hint="eastAsia"/>
          <w:lang w:eastAsia="zh-CN"/>
        </w:rPr>
        <w:t xml:space="preserve">    年    月    日</w:t>
      </w:r>
    </w:p>
    <w:p>
      <w:pPr>
        <w:pStyle w:val="J3"/>
        <w:rPr>
          <w:color w:val="auto"/>
        </w:rPr>
      </w:pPr>
    </w:p>
    <w:tbl>
      <w:tblPr>
        <w:tblW w:w="0" w:type="auto"/>
        <w:jc w:val="right"/>
        <w:tblLayout w:type="fixed"/>
        <w:tblCellMar>
          <w:left w:w="0" w:type="dxa"/>
          <w:right w:w="0" w:type="dxa"/>
        </w:tblCellMar>
        <w:tblLook w:val="01E0" w:firstRow="1" w:lastRow="1" w:firstColumn="1" w:lastColumn="1" w:noHBand="0" w:noVBand="0"/>
      </w:tblPr>
      <w:tblGrid>
        <w:gridCol w:w="480"/>
        <w:gridCol w:w="640"/>
        <w:gridCol w:w="1760"/>
      </w:tblGrid>
      <w:tr>
        <w:trPr>
          <w:cantSplit/>
          <w:trHeight w:hRule="exact" w:val="306"/>
          <w:jc w:val="right"/>
        </w:trPr>
        <w:tc>
          <w:tcPr>
            <w:tcW w:w="480" w:type="dxa"/>
            <w:shd w:val="clear" w:color="auto" w:fill="auto"/>
            <w:vAlign w:val="center"/>
          </w:tcPr>
          <w:p>
            <w:pPr>
              <w:pStyle w:val="J3"/>
              <w:keepNext/>
              <w:rPr>
                <w:color w:val="auto"/>
              </w:rPr>
            </w:pPr>
          </w:p>
        </w:tc>
        <w:tc>
          <w:tcPr>
            <w:tcW w:w="640" w:type="dxa"/>
            <w:shd w:val="clear" w:color="auto" w:fill="auto"/>
            <w:vAlign w:val="center"/>
          </w:tcPr>
          <w:p>
            <w:pPr>
              <w:pStyle w:val="J3"/>
              <w:keepNext/>
              <w:ind w:left="240" w:hanging="240"/>
              <w:rPr>
                <w:color w:val="auto"/>
              </w:rPr>
            </w:pPr>
            <w:r>
              <w:rPr>
                <w:rFonts w:hint="eastAsia"/>
                <w:color w:val="auto"/>
                <w:spacing w:val="40"/>
                <w:kern w:val="0"/>
              </w:rPr>
              <w:t>所在地</w:t>
            </w:r>
          </w:p>
        </w:tc>
        <w:tc>
          <w:tcPr>
            <w:tcW w:w="1760" w:type="dxa"/>
            <w:shd w:val="clear" w:color="auto" w:fill="auto"/>
            <w:vAlign w:val="center"/>
          </w:tcPr>
          <w:p>
            <w:pPr>
              <w:pStyle w:val="J3"/>
              <w:keepNext/>
              <w:jc w:val="right"/>
              <w:rPr>
                <w:color w:val="auto"/>
              </w:rPr>
            </w:pPr>
          </w:p>
        </w:tc>
      </w:tr>
      <w:tr>
        <w:trPr>
          <w:cantSplit/>
          <w:trHeight w:hRule="exact" w:val="306"/>
          <w:jc w:val="right"/>
        </w:trPr>
        <w:tc>
          <w:tcPr>
            <w:tcW w:w="480" w:type="dxa"/>
            <w:shd w:val="clear" w:color="auto" w:fill="auto"/>
            <w:vAlign w:val="center"/>
          </w:tcPr>
          <w:p>
            <w:pPr>
              <w:pStyle w:val="J3"/>
              <w:keepNext/>
              <w:rPr>
                <w:color w:val="auto"/>
              </w:rPr>
            </w:pPr>
            <w:r>
              <w:rPr>
                <w:rFonts w:hint="eastAsia"/>
                <w:color w:val="auto"/>
              </w:rPr>
              <w:t>甲</w:t>
            </w:r>
          </w:p>
        </w:tc>
        <w:tc>
          <w:tcPr>
            <w:tcW w:w="640" w:type="dxa"/>
            <w:shd w:val="clear" w:color="auto" w:fill="auto"/>
            <w:vAlign w:val="center"/>
          </w:tcPr>
          <w:p>
            <w:pPr>
              <w:pStyle w:val="J3"/>
              <w:keepNext/>
              <w:ind w:left="480" w:hanging="480"/>
              <w:rPr>
                <w:color w:val="auto"/>
              </w:rPr>
            </w:pPr>
            <w:r>
              <w:rPr>
                <w:rFonts w:hint="eastAsia"/>
                <w:color w:val="auto"/>
                <w:spacing w:val="160"/>
                <w:kern w:val="0"/>
              </w:rPr>
              <w:t>名</w:t>
            </w:r>
            <w:r>
              <w:rPr>
                <w:rFonts w:hint="eastAsia"/>
                <w:color w:val="auto"/>
                <w:kern w:val="0"/>
              </w:rPr>
              <w:t>称</w:t>
            </w:r>
          </w:p>
        </w:tc>
        <w:tc>
          <w:tcPr>
            <w:tcW w:w="1760" w:type="dxa"/>
            <w:shd w:val="clear" w:color="auto" w:fill="auto"/>
            <w:vAlign w:val="center"/>
          </w:tcPr>
          <w:p>
            <w:pPr>
              <w:pStyle w:val="J3"/>
              <w:keepNext/>
              <w:jc w:val="right"/>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9.4pt">
                  <v:imagedata r:id="rId7" o:title="印"/>
                </v:shape>
              </w:pict>
            </w:r>
          </w:p>
        </w:tc>
      </w:tr>
      <w:tr>
        <w:trPr>
          <w:cantSplit/>
          <w:trHeight w:hRule="exact" w:val="306"/>
          <w:jc w:val="right"/>
        </w:trPr>
        <w:tc>
          <w:tcPr>
            <w:tcW w:w="480" w:type="dxa"/>
            <w:shd w:val="clear" w:color="auto" w:fill="auto"/>
            <w:vAlign w:val="center"/>
          </w:tcPr>
          <w:p>
            <w:pPr>
              <w:pStyle w:val="J3"/>
              <w:keepNext/>
              <w:rPr>
                <w:color w:val="auto"/>
              </w:rPr>
            </w:pPr>
          </w:p>
        </w:tc>
        <w:tc>
          <w:tcPr>
            <w:tcW w:w="640" w:type="dxa"/>
            <w:shd w:val="clear" w:color="auto" w:fill="auto"/>
            <w:vAlign w:val="center"/>
          </w:tcPr>
          <w:p>
            <w:pPr>
              <w:pStyle w:val="J3"/>
              <w:keepNext/>
              <w:rPr>
                <w:color w:val="auto"/>
              </w:rPr>
            </w:pPr>
            <w:r>
              <w:rPr>
                <w:rFonts w:hint="eastAsia"/>
                <w:color w:val="auto"/>
              </w:rPr>
              <w:t>代表者名</w:t>
            </w:r>
          </w:p>
        </w:tc>
        <w:tc>
          <w:tcPr>
            <w:tcW w:w="1760" w:type="dxa"/>
            <w:shd w:val="clear" w:color="auto" w:fill="auto"/>
            <w:vAlign w:val="center"/>
          </w:tcPr>
          <w:p>
            <w:pPr>
              <w:pStyle w:val="J3"/>
              <w:keepNext/>
              <w:jc w:val="right"/>
              <w:rPr>
                <w:color w:val="auto"/>
              </w:rPr>
            </w:pPr>
          </w:p>
        </w:tc>
      </w:tr>
      <w:tr>
        <w:trPr>
          <w:cantSplit/>
          <w:trHeight w:hRule="exact" w:val="306"/>
          <w:jc w:val="right"/>
        </w:trPr>
        <w:tc>
          <w:tcPr>
            <w:tcW w:w="480" w:type="dxa"/>
            <w:shd w:val="clear" w:color="auto" w:fill="auto"/>
            <w:vAlign w:val="center"/>
          </w:tcPr>
          <w:p>
            <w:pPr>
              <w:pStyle w:val="J3"/>
              <w:keepNext/>
              <w:rPr>
                <w:color w:val="auto"/>
              </w:rPr>
            </w:pPr>
          </w:p>
        </w:tc>
        <w:tc>
          <w:tcPr>
            <w:tcW w:w="640" w:type="dxa"/>
            <w:shd w:val="clear" w:color="auto" w:fill="auto"/>
            <w:vAlign w:val="center"/>
          </w:tcPr>
          <w:p>
            <w:pPr>
              <w:pStyle w:val="J3"/>
              <w:keepNext/>
              <w:rPr>
                <w:color w:val="auto"/>
              </w:rPr>
            </w:pPr>
          </w:p>
        </w:tc>
        <w:tc>
          <w:tcPr>
            <w:tcW w:w="1760" w:type="dxa"/>
            <w:shd w:val="clear" w:color="auto" w:fill="auto"/>
            <w:vAlign w:val="center"/>
          </w:tcPr>
          <w:p>
            <w:pPr>
              <w:pStyle w:val="J3"/>
              <w:keepNext/>
              <w:jc w:val="right"/>
              <w:rPr>
                <w:color w:val="auto"/>
              </w:rPr>
            </w:pPr>
          </w:p>
        </w:tc>
      </w:tr>
      <w:tr>
        <w:trPr>
          <w:cantSplit/>
          <w:trHeight w:hRule="exact" w:val="306"/>
          <w:jc w:val="right"/>
        </w:trPr>
        <w:tc>
          <w:tcPr>
            <w:tcW w:w="480" w:type="dxa"/>
            <w:shd w:val="clear" w:color="auto" w:fill="auto"/>
            <w:vAlign w:val="center"/>
          </w:tcPr>
          <w:p>
            <w:pPr>
              <w:pStyle w:val="J3"/>
              <w:keepNext/>
              <w:rPr>
                <w:color w:val="auto"/>
              </w:rPr>
            </w:pPr>
          </w:p>
        </w:tc>
        <w:tc>
          <w:tcPr>
            <w:tcW w:w="640" w:type="dxa"/>
            <w:shd w:val="clear" w:color="auto" w:fill="auto"/>
            <w:vAlign w:val="center"/>
          </w:tcPr>
          <w:p>
            <w:pPr>
              <w:pStyle w:val="J3"/>
              <w:keepNext/>
              <w:ind w:left="240" w:hanging="240"/>
              <w:rPr>
                <w:color w:val="auto"/>
              </w:rPr>
            </w:pPr>
            <w:r>
              <w:rPr>
                <w:rFonts w:hint="eastAsia"/>
                <w:color w:val="auto"/>
                <w:spacing w:val="40"/>
                <w:kern w:val="0"/>
              </w:rPr>
              <w:t>所在地</w:t>
            </w:r>
          </w:p>
        </w:tc>
        <w:tc>
          <w:tcPr>
            <w:tcW w:w="1760" w:type="dxa"/>
            <w:shd w:val="clear" w:color="auto" w:fill="auto"/>
            <w:vAlign w:val="center"/>
          </w:tcPr>
          <w:p>
            <w:pPr>
              <w:pStyle w:val="J3"/>
              <w:keepNext/>
              <w:jc w:val="right"/>
              <w:rPr>
                <w:color w:val="auto"/>
              </w:rPr>
            </w:pPr>
          </w:p>
        </w:tc>
      </w:tr>
      <w:tr>
        <w:trPr>
          <w:cantSplit/>
          <w:trHeight w:hRule="exact" w:val="306"/>
          <w:jc w:val="right"/>
        </w:trPr>
        <w:tc>
          <w:tcPr>
            <w:tcW w:w="480" w:type="dxa"/>
            <w:shd w:val="clear" w:color="auto" w:fill="auto"/>
            <w:vAlign w:val="center"/>
          </w:tcPr>
          <w:p>
            <w:pPr>
              <w:pStyle w:val="J3"/>
              <w:keepNext/>
              <w:rPr>
                <w:color w:val="auto"/>
              </w:rPr>
            </w:pPr>
            <w:r>
              <w:rPr>
                <w:rFonts w:hint="eastAsia"/>
                <w:color w:val="auto"/>
              </w:rPr>
              <w:t>乙</w:t>
            </w:r>
          </w:p>
        </w:tc>
        <w:tc>
          <w:tcPr>
            <w:tcW w:w="640" w:type="dxa"/>
            <w:shd w:val="clear" w:color="auto" w:fill="auto"/>
            <w:vAlign w:val="center"/>
          </w:tcPr>
          <w:p>
            <w:pPr>
              <w:pStyle w:val="J3"/>
              <w:keepNext/>
              <w:ind w:left="480" w:hanging="480"/>
              <w:rPr>
                <w:color w:val="auto"/>
              </w:rPr>
            </w:pPr>
            <w:r>
              <w:rPr>
                <w:rFonts w:hint="eastAsia"/>
                <w:color w:val="auto"/>
                <w:spacing w:val="160"/>
                <w:kern w:val="0"/>
              </w:rPr>
              <w:t>名</w:t>
            </w:r>
            <w:r>
              <w:rPr>
                <w:rFonts w:hint="eastAsia"/>
                <w:color w:val="auto"/>
                <w:kern w:val="0"/>
              </w:rPr>
              <w:t>称</w:t>
            </w:r>
          </w:p>
        </w:tc>
        <w:tc>
          <w:tcPr>
            <w:tcW w:w="1760" w:type="dxa"/>
            <w:shd w:val="clear" w:color="auto" w:fill="auto"/>
            <w:vAlign w:val="center"/>
          </w:tcPr>
          <w:p>
            <w:pPr>
              <w:pStyle w:val="J3"/>
              <w:keepNext/>
              <w:jc w:val="right"/>
              <w:rPr>
                <w:color w:val="auto"/>
              </w:rPr>
            </w:pPr>
            <w:r>
              <w:rPr>
                <w:color w:val="auto"/>
              </w:rPr>
              <w:pict>
                <v:shape id="_x0000_i1026" type="#_x0000_t75" style="width:9.4pt;height:9.4pt">
                  <v:imagedata r:id="rId7" o:title="印"/>
                </v:shape>
              </w:pict>
            </w:r>
          </w:p>
        </w:tc>
      </w:tr>
      <w:tr>
        <w:trPr>
          <w:cantSplit/>
          <w:trHeight w:hRule="exact" w:val="306"/>
          <w:jc w:val="right"/>
        </w:trPr>
        <w:tc>
          <w:tcPr>
            <w:tcW w:w="480" w:type="dxa"/>
            <w:shd w:val="clear" w:color="auto" w:fill="auto"/>
            <w:vAlign w:val="center"/>
          </w:tcPr>
          <w:p>
            <w:pPr>
              <w:pStyle w:val="J3"/>
              <w:keepNext/>
              <w:rPr>
                <w:color w:val="auto"/>
              </w:rPr>
            </w:pPr>
          </w:p>
        </w:tc>
        <w:tc>
          <w:tcPr>
            <w:tcW w:w="640" w:type="dxa"/>
            <w:shd w:val="clear" w:color="auto" w:fill="auto"/>
            <w:vAlign w:val="center"/>
          </w:tcPr>
          <w:p>
            <w:pPr>
              <w:pStyle w:val="J3"/>
              <w:keepNext/>
              <w:rPr>
                <w:color w:val="auto"/>
              </w:rPr>
            </w:pPr>
            <w:r>
              <w:rPr>
                <w:rFonts w:hint="eastAsia"/>
                <w:color w:val="auto"/>
              </w:rPr>
              <w:t>代表者名</w:t>
            </w:r>
          </w:p>
        </w:tc>
        <w:tc>
          <w:tcPr>
            <w:tcW w:w="1760" w:type="dxa"/>
            <w:shd w:val="clear" w:color="auto" w:fill="auto"/>
            <w:vAlign w:val="center"/>
          </w:tcPr>
          <w:p>
            <w:pPr>
              <w:pStyle w:val="J3"/>
              <w:keepNext/>
              <w:jc w:val="right"/>
              <w:rPr>
                <w:color w:val="auto"/>
              </w:rPr>
            </w:pPr>
          </w:p>
        </w:tc>
      </w:tr>
    </w:tbl>
    <w:p>
      <w:pPr>
        <w:pStyle w:val="J3"/>
        <w:rPr>
          <w:color w:val="auto"/>
        </w:rPr>
      </w:pPr>
    </w:p>
    <w:p>
      <w:pPr>
        <w:pStyle w:val="J3"/>
        <w:rPr>
          <w:color w:val="auto"/>
        </w:rPr>
      </w:pPr>
    </w:p>
    <w:p>
      <w:pPr>
        <w:pStyle w:val="J3"/>
        <w:rPr>
          <w:color w:val="auto"/>
        </w:rPr>
      </w:pPr>
    </w:p>
    <w:p>
      <w:pPr>
        <w:pStyle w:val="J3"/>
        <w:rPr>
          <w:color w:val="auto"/>
        </w:rPr>
      </w:pPr>
    </w:p>
    <w:p>
      <w:pPr>
        <w:pStyle w:val="J3"/>
        <w:jc w:val="center"/>
        <w:rPr>
          <w:color w:val="auto"/>
          <w:sz w:val="20"/>
        </w:rPr>
      </w:pPr>
      <w:r>
        <w:rPr>
          <w:color w:val="auto"/>
        </w:rPr>
        <w:br w:type="page"/>
      </w:r>
      <w:r>
        <w:rPr>
          <w:rFonts w:hint="eastAsia"/>
          <w:color w:val="auto"/>
          <w:sz w:val="20"/>
        </w:rPr>
        <w:lastRenderedPageBreak/>
        <w:t>別紙１</w:t>
      </w:r>
    </w:p>
    <w:p>
      <w:pPr>
        <w:pStyle w:val="J3"/>
        <w:jc w:val="center"/>
        <w:rPr>
          <w:color w:val="auto"/>
        </w:rPr>
      </w:pPr>
      <w:r>
        <w:rPr>
          <w:rFonts w:hint="eastAsia"/>
          <w:color w:val="auto"/>
          <w:sz w:val="20"/>
        </w:rPr>
        <w:t>銘柄先決め利含み現先取引に関する合意事項</w:t>
      </w:r>
    </w:p>
    <w:p>
      <w:pPr>
        <w:pStyle w:val="J3"/>
        <w:rPr>
          <w:color w:val="auto"/>
        </w:rPr>
      </w:pPr>
    </w:p>
    <w:p>
      <w:pPr>
        <w:rPr>
          <w:rFonts w:hAnsi="ＭＳ 明朝"/>
          <w:sz w:val="16"/>
          <w:szCs w:val="16"/>
        </w:rPr>
      </w:pPr>
      <w:r>
        <w:rPr>
          <w:rFonts w:hAnsi="ＭＳ 明朝" w:hint="eastAsia"/>
          <w:sz w:val="16"/>
          <w:szCs w:val="16"/>
        </w:rPr>
        <w:t>第 １ 条（適用）</w:t>
      </w:r>
    </w:p>
    <w:p>
      <w:pPr>
        <w:pStyle w:val="J6"/>
        <w:ind w:firstLine="107"/>
      </w:pPr>
      <w:r>
        <w:rPr>
          <w:rFonts w:hint="eastAsia"/>
        </w:rPr>
        <w:t>本基本契約書の他の別紙の適用がある場合を除き、甲と乙との間で行われる個別現先取引（利含み現先取引）については、本別紙１が適用されるものとする。</w:t>
      </w:r>
    </w:p>
    <w:p>
      <w:pPr>
        <w:rPr>
          <w:rFonts w:hAnsi="ＭＳ 明朝"/>
          <w:sz w:val="16"/>
          <w:szCs w:val="16"/>
        </w:rPr>
      </w:pPr>
      <w:r>
        <w:rPr>
          <w:rFonts w:hAnsi="ＭＳ 明朝" w:hint="eastAsia"/>
          <w:sz w:val="16"/>
          <w:szCs w:val="16"/>
        </w:rPr>
        <w:t>第 ２ 条（本文第２条に規定する定義に関する合意）</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本文第２条第７号に定義する経過利子の端数処理は、当事者間に別段の合意がある場合を除き、小数点以下第７位未満を切り捨てとする。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２条第17号に定義する時価は、当事者間に別段の合意がある場合を除き、日本証券業協会が発表する「売買参考統計値（平均値）」の「単利利回り」を用いて算出した価格（小数点以下第３位未満を切り捨て）を同号に定める「市場価格」として算出するものとする。</w:t>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本文第２条第27号に定義する対顧客電信買相場は、[●／当事者間での合意によるもの]</w:t>
      </w:r>
      <w:r>
        <w:rPr>
          <w:rStyle w:val="a7"/>
          <w:rFonts w:hAnsi="ＭＳ 明朝"/>
          <w:sz w:val="16"/>
          <w:szCs w:val="16"/>
        </w:rPr>
        <w:endnoteReference w:id="6"/>
      </w:r>
      <w:r>
        <w:rPr>
          <w:rFonts w:hAnsi="ＭＳ 明朝" w:hint="eastAsia"/>
          <w:sz w:val="16"/>
          <w:szCs w:val="16"/>
        </w:rPr>
        <w:t>とする。</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本文第２条第29号に定義する担保掛目は、当事者間に別段の合意がある場合を除き、100％とする。</w:t>
      </w:r>
    </w:p>
    <w:p>
      <w:pPr>
        <w:tabs>
          <w:tab w:val="right" w:pos="426"/>
        </w:tabs>
        <w:ind w:left="284" w:hanging="284"/>
        <w:rPr>
          <w:rFonts w:hAnsi="ＭＳ 明朝"/>
          <w:sz w:val="16"/>
          <w:szCs w:val="16"/>
        </w:rPr>
      </w:pPr>
      <w:r>
        <w:rPr>
          <w:rFonts w:hAnsi="ＭＳ 明朝" w:hint="eastAsia"/>
          <w:sz w:val="16"/>
          <w:szCs w:val="16"/>
        </w:rPr>
        <w:t>５</w:t>
      </w:r>
      <w:r>
        <w:rPr>
          <w:rFonts w:hAnsi="ＭＳ 明朝" w:hint="eastAsia"/>
          <w:sz w:val="16"/>
          <w:szCs w:val="16"/>
        </w:rPr>
        <w:tab/>
        <w:t>本文第２条第33号に定義する担保証券は、[国債（国庫短期証券を含む。）[、●、]及び担保の差入れにあたって両当事者が合意するその他の有価証券]</w:t>
      </w:r>
      <w:r>
        <w:rPr>
          <w:rStyle w:val="a7"/>
          <w:rFonts w:hAnsi="ＭＳ 明朝"/>
          <w:sz w:val="16"/>
          <w:szCs w:val="16"/>
        </w:rPr>
        <w:endnoteReference w:id="7"/>
      </w:r>
      <w:r>
        <w:rPr>
          <w:rFonts w:hAnsi="ＭＳ 明朝" w:hint="eastAsia"/>
          <w:sz w:val="16"/>
          <w:szCs w:val="16"/>
        </w:rPr>
        <w:t>とする。</w:t>
      </w:r>
    </w:p>
    <w:p>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t>本文第２条第43号に定義する売買金額算出比率は、</w:t>
      </w:r>
      <w:r>
        <w:rPr>
          <w:rFonts w:hint="eastAsia"/>
          <w:sz w:val="16"/>
        </w:rPr>
        <w:t>[●]</w:t>
      </w:r>
      <w:r>
        <w:rPr>
          <w:rStyle w:val="a7"/>
          <w:sz w:val="16"/>
        </w:rPr>
        <w:endnoteReference w:id="8"/>
      </w:r>
      <w:r>
        <w:rPr>
          <w:rFonts w:hint="eastAsia"/>
          <w:sz w:val="16"/>
        </w:rPr>
        <w:t>とする。</w:t>
      </w:r>
    </w:p>
    <w:p>
      <w:pPr>
        <w:rPr>
          <w:rFonts w:hAnsi="ＭＳ 明朝"/>
          <w:sz w:val="16"/>
          <w:szCs w:val="16"/>
        </w:rPr>
      </w:pPr>
      <w:r>
        <w:rPr>
          <w:rFonts w:hAnsi="ＭＳ 明朝" w:hint="eastAsia"/>
          <w:sz w:val="16"/>
          <w:szCs w:val="16"/>
        </w:rPr>
        <w:t>第 ３ 条（個別取引明細書の交付又は個別現先取引内容の確認）</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本文第３条第２項の規定に基づく個別取引明細書又は契約内容の確認は、本条に定めるところに従って行う。</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w:t>
      </w:r>
      <w:r>
        <w:rPr>
          <w:rStyle w:val="a7"/>
          <w:rFonts w:hAnsi="ＭＳ 明朝"/>
          <w:sz w:val="16"/>
          <w:szCs w:val="16"/>
        </w:rPr>
        <w:endnoteReference w:id="9"/>
      </w:r>
      <w:r>
        <w:rPr>
          <w:rFonts w:hAnsi="ＭＳ 明朝" w:hint="eastAsia"/>
          <w:sz w:val="16"/>
          <w:szCs w:val="16"/>
        </w:rPr>
        <w:t>（以下、本条において「交付者」という。）は、本文第３条第１項により個別現先取引が成立した場合、他方当事者（以下、本条において「受領者」という。）に対し、[速やかに]</w:t>
      </w:r>
      <w:r>
        <w:rPr>
          <w:rStyle w:val="a7"/>
          <w:rFonts w:hAnsi="ＭＳ 明朝"/>
          <w:sz w:val="16"/>
          <w:szCs w:val="16"/>
        </w:rPr>
        <w:endnoteReference w:id="10"/>
      </w:r>
      <w:r>
        <w:rPr>
          <w:rFonts w:hAnsi="ＭＳ 明朝" w:hint="eastAsia"/>
          <w:sz w:val="16"/>
          <w:szCs w:val="16"/>
        </w:rPr>
        <w:t>、本基本契約書に準拠する旨及び次項に定める事項を記載した個別取引明細書を交付する。受領者は、交付を受けた個別取引明細書を速やかに確認し、契約内容と相違がある場合には直ちに交付者に連絡するものとする。かかる連絡を行わなかった場合、受領者は個別取引明細書の内容に同意したものとみなす。/両当事者は、本文第３条第１項により個別現先取引が成立した場合、[速やかに]</w:t>
      </w:r>
      <w:r>
        <w:rPr>
          <w:rStyle w:val="a7"/>
          <w:rFonts w:hAnsi="ＭＳ 明朝"/>
          <w:sz w:val="16"/>
          <w:szCs w:val="16"/>
        </w:rPr>
        <w:endnoteReference w:id="11"/>
      </w:r>
      <w:r>
        <w:rPr>
          <w:rFonts w:hAnsi="ＭＳ 明朝" w:hint="eastAsia"/>
          <w:sz w:val="16"/>
          <w:szCs w:val="16"/>
        </w:rPr>
        <w:t>、[●]</w:t>
      </w:r>
      <w:r>
        <w:rPr>
          <w:rStyle w:val="a7"/>
          <w:rFonts w:hAnsi="ＭＳ 明朝"/>
          <w:sz w:val="16"/>
          <w:szCs w:val="16"/>
        </w:rPr>
        <w:endnoteReference w:id="12"/>
      </w:r>
      <w:r>
        <w:rPr>
          <w:rFonts w:hAnsi="ＭＳ 明朝" w:hint="eastAsia"/>
          <w:sz w:val="16"/>
          <w:szCs w:val="16"/>
        </w:rPr>
        <w:t>によって、次項に定める事項を確認するものとする。]</w:t>
      </w:r>
      <w:r>
        <w:rPr>
          <w:rStyle w:val="a7"/>
          <w:rFonts w:hAnsi="ＭＳ 明朝"/>
          <w:sz w:val="16"/>
          <w:szCs w:val="16"/>
        </w:rPr>
        <w:endnoteReference w:id="13"/>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個別取引明細書に記載すべき事項又は確認すべき契約内容は、次の各号に掲げる事項とする。</w:t>
      </w:r>
    </w:p>
    <w:p>
      <w:pPr>
        <w:tabs>
          <w:tab w:val="right" w:pos="567"/>
        </w:tabs>
        <w:ind w:left="426" w:hanging="267"/>
        <w:rPr>
          <w:rFonts w:hAnsi="ＭＳ 明朝"/>
        </w:rPr>
      </w:pPr>
      <w:r>
        <w:rPr>
          <w:rFonts w:hAnsi="ＭＳ 明朝" w:hint="eastAsia"/>
          <w:sz w:val="16"/>
        </w:rPr>
        <w:t>⑴</w:t>
      </w:r>
      <w:r>
        <w:rPr>
          <w:rFonts w:hAnsi="ＭＳ 明朝"/>
          <w:sz w:val="16"/>
        </w:rPr>
        <w:tab/>
      </w:r>
      <w:r>
        <w:rPr>
          <w:rFonts w:hAnsi="ＭＳ 明朝" w:hint="eastAsia"/>
          <w:sz w:val="16"/>
        </w:rPr>
        <w:t>買手及び売手の名称</w:t>
      </w:r>
    </w:p>
    <w:p>
      <w:pPr>
        <w:tabs>
          <w:tab w:val="right" w:pos="567"/>
        </w:tabs>
        <w:ind w:left="426" w:hanging="267"/>
        <w:rPr>
          <w:rFonts w:hAnsi="ＭＳ 明朝"/>
        </w:rPr>
      </w:pPr>
      <w:r>
        <w:rPr>
          <w:rFonts w:hAnsi="ＭＳ 明朝" w:hint="eastAsia"/>
          <w:sz w:val="16"/>
        </w:rPr>
        <w:t>⑵</w:t>
      </w:r>
      <w:r>
        <w:rPr>
          <w:rFonts w:hAnsi="ＭＳ 明朝"/>
          <w:sz w:val="16"/>
        </w:rPr>
        <w:tab/>
      </w:r>
      <w:r>
        <w:rPr>
          <w:rFonts w:hAnsi="ＭＳ 明朝" w:hint="eastAsia"/>
          <w:sz w:val="16"/>
        </w:rPr>
        <w:t>取引対象債券等</w:t>
      </w:r>
    </w:p>
    <w:p>
      <w:pPr>
        <w:tabs>
          <w:tab w:val="right" w:pos="567"/>
        </w:tabs>
        <w:ind w:left="426" w:hanging="267"/>
        <w:rPr>
          <w:rFonts w:hAnsi="ＭＳ 明朝"/>
          <w:lang w:eastAsia="zh-CN"/>
        </w:rPr>
      </w:pPr>
      <w:r>
        <w:rPr>
          <w:rFonts w:hAnsi="ＭＳ 明朝" w:hint="eastAsia"/>
          <w:sz w:val="16"/>
          <w:lang w:eastAsia="zh-CN"/>
        </w:rPr>
        <w:t>⑶</w:t>
      </w:r>
      <w:r>
        <w:rPr>
          <w:rFonts w:hAnsi="ＭＳ 明朝"/>
          <w:sz w:val="16"/>
          <w:lang w:eastAsia="zh-CN"/>
        </w:rPr>
        <w:tab/>
      </w:r>
      <w:r>
        <w:rPr>
          <w:rFonts w:hAnsi="ＭＳ 明朝" w:hint="eastAsia"/>
          <w:sz w:val="16"/>
          <w:lang w:eastAsia="zh-CN"/>
        </w:rPr>
        <w:t>取引数量</w:t>
      </w:r>
    </w:p>
    <w:p>
      <w:pPr>
        <w:tabs>
          <w:tab w:val="right" w:pos="567"/>
        </w:tabs>
        <w:ind w:left="426" w:hanging="267"/>
        <w:rPr>
          <w:rFonts w:hAnsi="ＭＳ 明朝"/>
          <w:lang w:eastAsia="zh-CN"/>
        </w:rPr>
      </w:pPr>
      <w:r>
        <w:rPr>
          <w:rFonts w:hAnsi="ＭＳ 明朝" w:hint="eastAsia"/>
          <w:sz w:val="16"/>
          <w:lang w:eastAsia="zh-CN"/>
        </w:rPr>
        <w:t>⑷</w:t>
      </w:r>
      <w:r>
        <w:rPr>
          <w:rFonts w:hAnsi="ＭＳ 明朝"/>
          <w:sz w:val="16"/>
          <w:lang w:eastAsia="zh-CN"/>
        </w:rPr>
        <w:tab/>
      </w:r>
      <w:r>
        <w:rPr>
          <w:rFonts w:hAnsi="ＭＳ 明朝" w:hint="eastAsia"/>
          <w:sz w:val="16"/>
          <w:lang w:eastAsia="zh-CN"/>
        </w:rPr>
        <w:t>売買金額算出比率</w:t>
      </w:r>
    </w:p>
    <w:p>
      <w:pPr>
        <w:tabs>
          <w:tab w:val="right" w:pos="567"/>
        </w:tabs>
        <w:ind w:left="426" w:hanging="267"/>
        <w:rPr>
          <w:rFonts w:hAnsi="ＭＳ 明朝"/>
        </w:rPr>
      </w:pPr>
      <w:r>
        <w:rPr>
          <w:rFonts w:hAnsi="ＭＳ 明朝" w:hint="eastAsia"/>
          <w:sz w:val="16"/>
        </w:rPr>
        <w:t>⑸</w:t>
      </w:r>
      <w:r>
        <w:rPr>
          <w:rFonts w:hAnsi="ＭＳ 明朝"/>
          <w:sz w:val="16"/>
        </w:rPr>
        <w:tab/>
      </w:r>
      <w:r>
        <w:rPr>
          <w:rFonts w:hAnsi="ＭＳ 明朝" w:hint="eastAsia"/>
          <w:sz w:val="16"/>
        </w:rPr>
        <w:t>現先レート</w:t>
      </w:r>
    </w:p>
    <w:p>
      <w:pPr>
        <w:tabs>
          <w:tab w:val="right" w:pos="567"/>
        </w:tabs>
        <w:ind w:left="426" w:hanging="267"/>
        <w:rPr>
          <w:rFonts w:hAnsi="ＭＳ 明朝"/>
        </w:rPr>
      </w:pPr>
      <w:r>
        <w:rPr>
          <w:rFonts w:hAnsi="ＭＳ 明朝" w:hint="eastAsia"/>
          <w:sz w:val="16"/>
        </w:rPr>
        <w:t>⑹</w:t>
      </w:r>
      <w:r>
        <w:rPr>
          <w:rFonts w:hAnsi="ＭＳ 明朝"/>
          <w:sz w:val="16"/>
        </w:rPr>
        <w:tab/>
      </w:r>
      <w:r>
        <w:rPr>
          <w:rFonts w:hAnsi="ＭＳ 明朝" w:hint="eastAsia"/>
          <w:sz w:val="16"/>
        </w:rPr>
        <w:t>取引約定日</w:t>
      </w:r>
    </w:p>
    <w:p>
      <w:pPr>
        <w:tabs>
          <w:tab w:val="right" w:pos="567"/>
        </w:tabs>
        <w:ind w:left="426" w:hanging="267"/>
        <w:rPr>
          <w:rFonts w:hAnsi="ＭＳ 明朝"/>
        </w:rPr>
      </w:pPr>
      <w:r>
        <w:rPr>
          <w:rFonts w:hAnsi="ＭＳ 明朝" w:hint="eastAsia"/>
          <w:sz w:val="16"/>
        </w:rPr>
        <w:t>⑺</w:t>
      </w:r>
      <w:r>
        <w:rPr>
          <w:rFonts w:hAnsi="ＭＳ 明朝"/>
          <w:sz w:val="16"/>
        </w:rPr>
        <w:tab/>
      </w:r>
      <w:r>
        <w:rPr>
          <w:rFonts w:hAnsi="ＭＳ 明朝" w:hint="eastAsia"/>
          <w:sz w:val="16"/>
        </w:rPr>
        <w:t>スタート取引受渡日</w:t>
      </w:r>
    </w:p>
    <w:p>
      <w:pPr>
        <w:tabs>
          <w:tab w:val="right" w:pos="567"/>
        </w:tabs>
        <w:ind w:left="426" w:hanging="267"/>
        <w:rPr>
          <w:rFonts w:hAnsi="ＭＳ 明朝"/>
        </w:rPr>
      </w:pPr>
      <w:r>
        <w:rPr>
          <w:rFonts w:hAnsi="ＭＳ 明朝" w:hint="eastAsia"/>
          <w:sz w:val="16"/>
        </w:rPr>
        <w:t>⑻</w:t>
      </w:r>
      <w:r>
        <w:rPr>
          <w:rFonts w:hAnsi="ＭＳ 明朝"/>
          <w:sz w:val="16"/>
        </w:rPr>
        <w:tab/>
      </w:r>
      <w:r>
        <w:rPr>
          <w:rFonts w:hAnsi="ＭＳ 明朝" w:hint="eastAsia"/>
          <w:sz w:val="16"/>
        </w:rPr>
        <w:t>スタート売買単価</w:t>
      </w:r>
    </w:p>
    <w:p>
      <w:pPr>
        <w:tabs>
          <w:tab w:val="right" w:pos="567"/>
        </w:tabs>
        <w:ind w:left="426" w:hanging="267"/>
        <w:rPr>
          <w:rFonts w:hAnsi="ＭＳ 明朝"/>
        </w:rPr>
      </w:pPr>
      <w:r>
        <w:rPr>
          <w:rFonts w:hAnsi="ＭＳ 明朝" w:hint="eastAsia"/>
          <w:sz w:val="16"/>
        </w:rPr>
        <w:t>⑼</w:t>
      </w:r>
      <w:r>
        <w:rPr>
          <w:rFonts w:hAnsi="ＭＳ 明朝"/>
          <w:sz w:val="16"/>
        </w:rPr>
        <w:tab/>
      </w:r>
      <w:r>
        <w:rPr>
          <w:rFonts w:hAnsi="ＭＳ 明朝" w:hint="eastAsia"/>
          <w:sz w:val="16"/>
        </w:rPr>
        <w:t>スタート売買金額</w:t>
      </w:r>
    </w:p>
    <w:p>
      <w:pPr>
        <w:tabs>
          <w:tab w:val="right" w:pos="567"/>
        </w:tabs>
        <w:ind w:left="426" w:hanging="267"/>
        <w:rPr>
          <w:rFonts w:hAnsi="ＭＳ 明朝"/>
          <w:sz w:val="16"/>
          <w:szCs w:val="16"/>
        </w:rPr>
      </w:pPr>
      <w:r>
        <w:rPr>
          <w:rFonts w:hAnsi="ＭＳ 明朝" w:hint="eastAsia"/>
          <w:sz w:val="16"/>
          <w:szCs w:val="16"/>
        </w:rPr>
        <w:t>⑽</w:t>
      </w:r>
      <w:r>
        <w:rPr>
          <w:rFonts w:hAnsi="ＭＳ 明朝" w:hint="eastAsia"/>
          <w:sz w:val="16"/>
          <w:szCs w:val="16"/>
        </w:rPr>
        <w:tab/>
        <w:t>エンド売買単価</w:t>
      </w:r>
    </w:p>
    <w:p>
      <w:pPr>
        <w:tabs>
          <w:tab w:val="right" w:pos="567"/>
        </w:tabs>
        <w:ind w:left="426" w:hanging="267"/>
        <w:rPr>
          <w:rFonts w:hAnsi="ＭＳ 明朝"/>
          <w:sz w:val="16"/>
          <w:szCs w:val="16"/>
        </w:rPr>
      </w:pPr>
      <w:r>
        <w:rPr>
          <w:rFonts w:hAnsi="ＭＳ 明朝" w:hint="eastAsia"/>
          <w:sz w:val="16"/>
          <w:szCs w:val="16"/>
        </w:rPr>
        <w:t>⑾</w:t>
      </w:r>
      <w:r>
        <w:rPr>
          <w:rFonts w:hAnsi="ＭＳ 明朝" w:hint="eastAsia"/>
          <w:sz w:val="16"/>
          <w:szCs w:val="16"/>
        </w:rPr>
        <w:tab/>
        <w:t>エンド売買金額</w:t>
      </w:r>
    </w:p>
    <w:p>
      <w:pPr>
        <w:tabs>
          <w:tab w:val="right" w:pos="567"/>
        </w:tabs>
        <w:ind w:left="426" w:hanging="267"/>
        <w:rPr>
          <w:rFonts w:hAnsi="ＭＳ 明朝"/>
          <w:sz w:val="16"/>
          <w:szCs w:val="16"/>
        </w:rPr>
      </w:pPr>
      <w:r>
        <w:rPr>
          <w:rFonts w:hint="eastAsia"/>
        </w:rPr>
        <w:t>⑿</w:t>
      </w:r>
      <w:r>
        <w:rPr>
          <w:rFonts w:hint="eastAsia"/>
        </w:rPr>
        <w:tab/>
      </w:r>
      <w:r>
        <w:rPr>
          <w:rFonts w:hAnsi="ＭＳ 明朝" w:hint="eastAsia"/>
          <w:sz w:val="16"/>
          <w:szCs w:val="16"/>
        </w:rPr>
        <w:t>エンド取引受渡日</w:t>
      </w:r>
    </w:p>
    <w:p>
      <w:pPr>
        <w:tabs>
          <w:tab w:val="right" w:pos="567"/>
        </w:tabs>
        <w:ind w:left="426" w:hanging="267"/>
        <w:rPr>
          <w:rFonts w:hAnsi="ＭＳ 明朝"/>
          <w:sz w:val="16"/>
          <w:szCs w:val="16"/>
        </w:rPr>
      </w:pPr>
      <w:r>
        <w:rPr>
          <w:rFonts w:hint="eastAsia"/>
        </w:rPr>
        <w:t>⒀</w:t>
      </w:r>
      <w:r>
        <w:rPr>
          <w:rFonts w:hint="eastAsia"/>
        </w:rPr>
        <w:tab/>
      </w:r>
      <w:r>
        <w:rPr>
          <w:rFonts w:hAnsi="ＭＳ 明朝"/>
          <w:sz w:val="16"/>
          <w:szCs w:val="16"/>
        </w:rPr>
        <w:tab/>
      </w:r>
      <w:r>
        <w:rPr>
          <w:rFonts w:hAnsi="ＭＳ 明朝" w:hint="eastAsia"/>
          <w:sz w:val="16"/>
          <w:szCs w:val="16"/>
        </w:rPr>
        <w:t>その他当該個別現先取引について特に定める事項</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[前項の規定にかかわらず、オープンエンド取引（第８条に定める取引をいう。）については、同第12号のエンド取引受</w:t>
      </w:r>
      <w:r>
        <w:rPr>
          <w:rFonts w:hAnsi="ＭＳ 明朝" w:hint="eastAsia"/>
          <w:sz w:val="16"/>
          <w:szCs w:val="16"/>
        </w:rPr>
        <w:lastRenderedPageBreak/>
        <w:t>渡日につき個別取引明細書への記載を要しないものとする。ただし、交付者は、当該事項が確定した後遅滞なく、当該確定した事項を記載した書面を受領者に交付することを要する。/前項の規定にかかわらず、両当事者は、オープンエンド取引については、同第12号のエンド取引受渡日が確定した後遅滞なく、第２項に定める方法により当該確定した事項を確認する。]</w:t>
      </w:r>
      <w:r>
        <w:rPr>
          <w:rStyle w:val="a7"/>
          <w:rFonts w:hAnsi="ＭＳ 明朝"/>
          <w:sz w:val="16"/>
          <w:szCs w:val="16"/>
        </w:rPr>
        <w:endnoteReference w:id="14"/>
      </w:r>
    </w:p>
    <w:p>
      <w:pPr>
        <w:tabs>
          <w:tab w:val="right" w:pos="426"/>
        </w:tabs>
        <w:ind w:left="284" w:hanging="284"/>
        <w:rPr>
          <w:rFonts w:hAnsi="ＭＳ 明朝"/>
          <w:sz w:val="16"/>
          <w:szCs w:val="16"/>
        </w:rPr>
      </w:pPr>
      <w:r>
        <w:rPr>
          <w:rFonts w:hAnsi="ＭＳ 明朝" w:hint="eastAsia"/>
          <w:sz w:val="16"/>
          <w:szCs w:val="16"/>
        </w:rPr>
        <w:t>５</w:t>
      </w:r>
      <w:r>
        <w:rPr>
          <w:rFonts w:hAnsi="ＭＳ 明朝" w:hint="eastAsia"/>
          <w:sz w:val="16"/>
          <w:szCs w:val="16"/>
        </w:rPr>
        <w:tab/>
        <w:t>[第３項の規定にかかわらず、同第10号のエンド売買単価及び同第11号のエンド売買金額が取引成立時点で確定していない場合、個別取引明細書への記載を要しないものとする。ただし、交付者は、当該事項が確定した後遅滞なく、当該確定した事項を記載した書面を受領者に交付することを要する。/第３項の規定にかかわらず、両当事者は、同第10号のエンド売買単価及び同第11号のエンド売買金額が取引成立時点で確定していない場合、当該事項が確定した後遅滞なく、第２項に定める方法により当該確定した事項を確認する。]</w:t>
      </w:r>
      <w:r>
        <w:rPr>
          <w:rStyle w:val="a7"/>
          <w:rFonts w:hAnsi="ＭＳ 明朝"/>
          <w:sz w:val="16"/>
          <w:szCs w:val="16"/>
        </w:rPr>
        <w:endnoteReference w:id="15"/>
      </w:r>
    </w:p>
    <w:p>
      <w:pPr>
        <w:rPr>
          <w:rFonts w:hAnsi="ＭＳ 明朝"/>
          <w:sz w:val="16"/>
          <w:szCs w:val="16"/>
        </w:rPr>
      </w:pPr>
      <w:r>
        <w:rPr>
          <w:rFonts w:hAnsi="ＭＳ 明朝" w:hint="eastAsia"/>
          <w:sz w:val="16"/>
          <w:szCs w:val="16"/>
        </w:rPr>
        <w:t>第 ４ 条（スタート売買金額の算出）</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スタート売買金額は、当事者間に別段の合意がある場合を除き、次の算式により算出した金額によるものとする。また、スタート売買金額の端数処理は、当事者間に別段の合意がある場合を除き、円未満を切り捨てとする。</w:t>
      </w:r>
    </w:p>
    <w:p>
      <w:pPr>
        <w:tabs>
          <w:tab w:val="right" w:pos="426"/>
        </w:tabs>
        <w:ind w:left="284"/>
        <w:rPr>
          <w:rFonts w:hAnsi="ＭＳ 明朝"/>
          <w:sz w:val="16"/>
          <w:szCs w:val="16"/>
        </w:rPr>
      </w:pPr>
      <w:r>
        <w:rPr>
          <w:rFonts w:hAnsi="ＭＳ 明朝" w:hint="eastAsia"/>
          <w:sz w:val="16"/>
        </w:rPr>
        <w:t>スタート売買金額＝取引数量×スタート売買単価</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にいうスタート売買単価は、当事者間に別段の合意がある場合を除き、次の算式により算出した数値によるものとする。また、スタート売買単価の端数処理は、当事者間に別段の合意がある場合を除き、小数点以下第７位未満を切り捨てとする。</w:t>
      </w:r>
    </w:p>
    <w:p>
      <w:pPr>
        <w:tabs>
          <w:tab w:val="right" w:pos="426"/>
        </w:tabs>
        <w:ind w:left="284"/>
        <w:rPr>
          <w:rFonts w:hAnsi="ＭＳ 明朝"/>
          <w:sz w:val="16"/>
          <w:szCs w:val="16"/>
        </w:rPr>
      </w:pPr>
      <w:r>
        <w:rPr>
          <w:rFonts w:hAnsi="ＭＳ 明朝" w:hint="eastAsia"/>
          <w:sz w:val="16"/>
          <w:szCs w:val="16"/>
        </w:rPr>
        <w:t>スタート売買単価＝取引成立時点の取引対象債券等の時価÷（１＋売買金額算出比率）</w:t>
      </w:r>
    </w:p>
    <w:p>
      <w:pPr>
        <w:rPr>
          <w:rFonts w:hAnsi="ＭＳ 明朝"/>
          <w:sz w:val="16"/>
          <w:szCs w:val="16"/>
        </w:rPr>
      </w:pPr>
      <w:r>
        <w:rPr>
          <w:rFonts w:hAnsi="ＭＳ 明朝" w:hint="eastAsia"/>
          <w:sz w:val="16"/>
          <w:szCs w:val="16"/>
        </w:rPr>
        <w:t>第 ５ 条（エンド売買金額の算出）</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エンド売買金額は、当事者間に別段の合意がある場合を除き、次の算式により算出した金額によるものとする。また、エンド売買金額の端数処理は、当事者間に別段の合意がある場合を除き、円未満を切り捨てとする。</w:t>
      </w:r>
    </w:p>
    <w:p>
      <w:pPr>
        <w:tabs>
          <w:tab w:val="right" w:pos="426"/>
        </w:tabs>
        <w:ind w:left="284"/>
        <w:rPr>
          <w:rFonts w:hAnsi="ＭＳ 明朝"/>
          <w:sz w:val="16"/>
          <w:szCs w:val="16"/>
        </w:rPr>
      </w:pPr>
      <w:r>
        <w:rPr>
          <w:rFonts w:hAnsi="ＭＳ 明朝" w:hint="eastAsia"/>
          <w:sz w:val="16"/>
          <w:szCs w:val="16"/>
        </w:rPr>
        <w:t>エンド売買金額＝取引数量×エンド売買単価</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にいうエンド売買単価は、当事者間に別段の合意がある場合を除き、次の算式により算出した数値によるものとする。また、エンド売買単価の端数処理は、当事者間に別段の合意がある場合を除き、小数点以下第８位を切り上げとする。</w:t>
      </w:r>
    </w:p>
    <w:p>
      <w:pPr>
        <w:tabs>
          <w:tab w:val="right" w:pos="426"/>
        </w:tabs>
        <w:ind w:left="284"/>
        <w:rPr>
          <w:rFonts w:hAnsi="ＭＳ 明朝"/>
          <w:sz w:val="16"/>
          <w:szCs w:val="16"/>
        </w:rPr>
      </w:pPr>
      <w:r>
        <w:rPr>
          <w:rFonts w:hAnsi="ＭＳ 明朝" w:hint="eastAsia"/>
          <w:sz w:val="16"/>
          <w:szCs w:val="16"/>
        </w:rPr>
        <w:t>エンド売買単価＝スタート売買単価＋現先レート×スタート売買単価×約定期間÷365</w:t>
      </w:r>
    </w:p>
    <w:p>
      <w:pPr>
        <w:tabs>
          <w:tab w:val="right" w:pos="426"/>
        </w:tabs>
        <w:ind w:left="284"/>
        <w:rPr>
          <w:rFonts w:hAnsi="ＭＳ 明朝"/>
          <w:sz w:val="16"/>
          <w:szCs w:val="16"/>
        </w:rPr>
      </w:pPr>
      <w:r>
        <w:rPr>
          <w:rFonts w:hAnsi="ＭＳ 明朝" w:hint="eastAsia"/>
          <w:sz w:val="16"/>
          <w:szCs w:val="16"/>
        </w:rPr>
        <w:t>ただし、「÷365」は、両当事者間の合意により、「÷360」とすることができる。</w:t>
      </w:r>
    </w:p>
    <w:p>
      <w:pPr>
        <w:rPr>
          <w:rFonts w:hAnsi="ＭＳ 明朝"/>
          <w:sz w:val="16"/>
          <w:szCs w:val="16"/>
        </w:rPr>
      </w:pPr>
      <w:r>
        <w:rPr>
          <w:rFonts w:hAnsi="ＭＳ 明朝" w:hint="eastAsia"/>
          <w:sz w:val="16"/>
          <w:szCs w:val="16"/>
        </w:rPr>
        <w:t>第 ６ 条（担保の管理等）</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７条第３項に定める通知は、当事者間に別段の合意がある場合を除き、午前10時（日本時間。以下同じ。）までに行うものとする。当該通知を受けた当事者は、①当該通知の内容について異議がある場合にはその旨を、②当該通知の内容について異議がない場合には当該通知に従って移転する担保に係る次の各号に掲げる事項を、当該通知を行った当事者に対して、当事者間に別段の合意があるときを除き、当該通知日の正午（午前12時）までに通知し、確認するものとする。当該時限までに、当該通知を受けた当事者による通知がなされなかった場合、当該通知を受けた当事者は異議がないものとみなす。当該通知を受けた当事者は、異議がない場合又は異議がないとみなされた場合、通知を受けた額と同額又は同価値の担保の移転をするものとする。</w:t>
      </w:r>
    </w:p>
    <w:p>
      <w:pPr>
        <w:tabs>
          <w:tab w:val="right" w:pos="567"/>
        </w:tabs>
        <w:ind w:left="426" w:hanging="284"/>
        <w:rPr>
          <w:rFonts w:hAnsi="ＭＳ 明朝"/>
        </w:rPr>
      </w:pPr>
      <w:r>
        <w:rPr>
          <w:rFonts w:hAnsi="ＭＳ 明朝" w:hint="eastAsia"/>
          <w:sz w:val="16"/>
        </w:rPr>
        <w:t>⑴</w:t>
      </w:r>
      <w:r>
        <w:rPr>
          <w:rFonts w:hAnsi="ＭＳ 明朝"/>
          <w:sz w:val="16"/>
        </w:rPr>
        <w:tab/>
      </w:r>
      <w:r>
        <w:rPr>
          <w:rFonts w:hAnsi="ＭＳ 明朝" w:hint="eastAsia"/>
          <w:sz w:val="16"/>
        </w:rPr>
        <w:t>担保の差入者の名称</w:t>
      </w:r>
    </w:p>
    <w:p>
      <w:pPr>
        <w:tabs>
          <w:tab w:val="right" w:pos="567"/>
        </w:tabs>
        <w:ind w:left="426" w:hanging="284"/>
        <w:rPr>
          <w:rFonts w:hAnsi="ＭＳ 明朝"/>
        </w:rPr>
      </w:pPr>
      <w:r>
        <w:rPr>
          <w:rFonts w:hAnsi="ＭＳ 明朝" w:hint="eastAsia"/>
          <w:sz w:val="16"/>
        </w:rPr>
        <w:t>⑵</w:t>
      </w:r>
      <w:r>
        <w:rPr>
          <w:rFonts w:hAnsi="ＭＳ 明朝"/>
          <w:sz w:val="16"/>
        </w:rPr>
        <w:tab/>
      </w:r>
      <w:r>
        <w:rPr>
          <w:rFonts w:hAnsi="ＭＳ 明朝" w:hint="eastAsia"/>
          <w:sz w:val="16"/>
        </w:rPr>
        <w:t>担保の受領者の名称</w:t>
      </w:r>
    </w:p>
    <w:p>
      <w:pPr>
        <w:tabs>
          <w:tab w:val="right" w:pos="567"/>
        </w:tabs>
        <w:ind w:left="426" w:hanging="284"/>
        <w:rPr>
          <w:rFonts w:hAnsi="ＭＳ 明朝"/>
          <w:sz w:val="16"/>
          <w:szCs w:val="16"/>
        </w:rPr>
      </w:pPr>
      <w:r>
        <w:rPr>
          <w:rFonts w:hAnsi="ＭＳ 明朝" w:hint="eastAsia"/>
          <w:sz w:val="16"/>
          <w:szCs w:val="16"/>
        </w:rPr>
        <w:t>⑶</w:t>
      </w:r>
      <w:r>
        <w:rPr>
          <w:rFonts w:hAnsi="ＭＳ 明朝"/>
          <w:sz w:val="16"/>
          <w:szCs w:val="16"/>
        </w:rPr>
        <w:tab/>
      </w:r>
      <w:r>
        <w:rPr>
          <w:rFonts w:hAnsi="ＭＳ 明朝" w:hint="eastAsia"/>
          <w:sz w:val="16"/>
          <w:szCs w:val="16"/>
        </w:rPr>
        <w:t>担保の現金、有価証券の別</w:t>
      </w:r>
    </w:p>
    <w:p>
      <w:pPr>
        <w:tabs>
          <w:tab w:val="right" w:pos="567"/>
        </w:tabs>
        <w:ind w:left="426" w:hanging="284"/>
        <w:rPr>
          <w:rFonts w:hAnsi="ＭＳ 明朝"/>
        </w:rPr>
      </w:pPr>
      <w:r>
        <w:rPr>
          <w:rFonts w:hAnsi="ＭＳ 明朝" w:hint="eastAsia"/>
          <w:sz w:val="16"/>
        </w:rPr>
        <w:t>⑷</w:t>
      </w:r>
      <w:r>
        <w:rPr>
          <w:rFonts w:hAnsi="ＭＳ 明朝"/>
          <w:sz w:val="16"/>
        </w:rPr>
        <w:tab/>
      </w:r>
      <w:r>
        <w:rPr>
          <w:rFonts w:hAnsi="ＭＳ 明朝" w:hint="eastAsia"/>
          <w:sz w:val="16"/>
        </w:rPr>
        <w:t>担保金の金額（担保が現金の場合。次号において同じ。）</w:t>
      </w:r>
    </w:p>
    <w:p>
      <w:pPr>
        <w:tabs>
          <w:tab w:val="right" w:pos="567"/>
        </w:tabs>
        <w:ind w:left="426" w:hanging="284"/>
        <w:rPr>
          <w:rFonts w:hAnsi="ＭＳ 明朝"/>
        </w:rPr>
      </w:pPr>
      <w:r>
        <w:rPr>
          <w:rFonts w:hAnsi="ＭＳ 明朝" w:hint="eastAsia"/>
          <w:sz w:val="16"/>
        </w:rPr>
        <w:t>⑸</w:t>
      </w:r>
      <w:r>
        <w:rPr>
          <w:rFonts w:hAnsi="ＭＳ 明朝"/>
          <w:sz w:val="16"/>
        </w:rPr>
        <w:tab/>
      </w:r>
      <w:r>
        <w:rPr>
          <w:rFonts w:hAnsi="ＭＳ 明朝" w:hint="eastAsia"/>
          <w:sz w:val="16"/>
        </w:rPr>
        <w:t>担保金利率</w:t>
      </w:r>
    </w:p>
    <w:p>
      <w:pPr>
        <w:tabs>
          <w:tab w:val="right" w:pos="567"/>
        </w:tabs>
        <w:ind w:left="426" w:hanging="284"/>
        <w:rPr>
          <w:rFonts w:hAnsi="ＭＳ 明朝"/>
          <w:sz w:val="16"/>
          <w:szCs w:val="16"/>
        </w:rPr>
      </w:pPr>
      <w:r>
        <w:rPr>
          <w:rFonts w:hAnsi="ＭＳ 明朝" w:hint="eastAsia"/>
          <w:sz w:val="16"/>
          <w:szCs w:val="16"/>
        </w:rPr>
        <w:t>⑹</w:t>
      </w:r>
      <w:r>
        <w:rPr>
          <w:rFonts w:hAnsi="ＭＳ 明朝"/>
          <w:sz w:val="16"/>
          <w:szCs w:val="16"/>
        </w:rPr>
        <w:tab/>
      </w:r>
      <w:r>
        <w:rPr>
          <w:rFonts w:hAnsi="ＭＳ 明朝" w:hint="eastAsia"/>
          <w:sz w:val="16"/>
          <w:szCs w:val="16"/>
        </w:rPr>
        <w:t>担保証券の銘柄（担保が有価証券の場合。次二号において同じ。）</w:t>
      </w:r>
    </w:p>
    <w:p>
      <w:pPr>
        <w:tabs>
          <w:tab w:val="right" w:pos="567"/>
        </w:tabs>
        <w:ind w:left="426" w:hanging="284"/>
        <w:rPr>
          <w:rFonts w:hAnsi="ＭＳ 明朝"/>
        </w:rPr>
      </w:pPr>
      <w:r>
        <w:rPr>
          <w:rFonts w:hAnsi="ＭＳ 明朝" w:hint="eastAsia"/>
          <w:sz w:val="16"/>
        </w:rPr>
        <w:lastRenderedPageBreak/>
        <w:t>⑺</w:t>
      </w:r>
      <w:r>
        <w:rPr>
          <w:rFonts w:hAnsi="ＭＳ 明朝"/>
          <w:sz w:val="16"/>
        </w:rPr>
        <w:tab/>
      </w:r>
      <w:r>
        <w:rPr>
          <w:rFonts w:hAnsi="ＭＳ 明朝" w:hint="eastAsia"/>
          <w:sz w:val="16"/>
        </w:rPr>
        <w:t>担保証券の数量</w:t>
      </w:r>
    </w:p>
    <w:p>
      <w:pPr>
        <w:tabs>
          <w:tab w:val="right" w:pos="567"/>
        </w:tabs>
        <w:ind w:left="426" w:hanging="284"/>
        <w:rPr>
          <w:rFonts w:hAnsi="ＭＳ 明朝"/>
        </w:rPr>
      </w:pPr>
      <w:r>
        <w:rPr>
          <w:rFonts w:hAnsi="ＭＳ 明朝" w:hint="eastAsia"/>
          <w:sz w:val="16"/>
        </w:rPr>
        <w:t>⑻</w:t>
      </w:r>
      <w:r>
        <w:rPr>
          <w:rFonts w:hAnsi="ＭＳ 明朝"/>
          <w:sz w:val="16"/>
        </w:rPr>
        <w:tab/>
      </w:r>
      <w:r>
        <w:rPr>
          <w:rFonts w:hAnsi="ＭＳ 明朝" w:hint="eastAsia"/>
          <w:sz w:val="16"/>
        </w:rPr>
        <w:t>担保掛目</w:t>
      </w:r>
    </w:p>
    <w:p>
      <w:pPr>
        <w:tabs>
          <w:tab w:val="right" w:pos="567"/>
        </w:tabs>
        <w:ind w:left="426" w:hanging="284"/>
        <w:rPr>
          <w:rFonts w:hAnsi="ＭＳ 明朝"/>
          <w:shd w:val="pct15" w:color="auto" w:fill="FFFFFF"/>
        </w:rPr>
      </w:pPr>
      <w:r>
        <w:rPr>
          <w:rFonts w:hAnsi="ＭＳ 明朝" w:hint="eastAsia"/>
          <w:sz w:val="16"/>
        </w:rPr>
        <w:t>⑼</w:t>
      </w:r>
      <w:r>
        <w:rPr>
          <w:rFonts w:hAnsi="ＭＳ 明朝"/>
          <w:sz w:val="16"/>
        </w:rPr>
        <w:tab/>
      </w:r>
      <w:r>
        <w:rPr>
          <w:rFonts w:hAnsi="ＭＳ 明朝" w:hint="eastAsia"/>
          <w:sz w:val="16"/>
        </w:rPr>
        <w:t>担保差入期日又は担保返戻期日</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７条第６項の規定にかかわらず、同項に定める第一当事者から同種、同量の担保証券の返戻の請求があった場合、同項に定める第二当事者は、当該同種、同量の担保証券と同等又はそれ以上の時価総額を有する新たな担保証券を差し入れることができるものとする。かかる場合、第二当事者は、当事者間に別段の合意があるときを除き、担保証券の種類に応じて次の各号に定める日に、当該同種、同量の担保証券を返戻するものとする。また返戻と差入れの方法については、当事者間に別段の合意がある場合を除き、市場慣行に従うものとする。</w:t>
      </w:r>
    </w:p>
    <w:p>
      <w:pPr>
        <w:pStyle w:val="J6"/>
        <w:ind w:left="2240" w:hanging="2081"/>
      </w:pPr>
      <w:r>
        <w:rPr>
          <w:rFonts w:hint="eastAsia"/>
        </w:rPr>
        <w:t>⑴</w:t>
      </w:r>
      <w:r>
        <w:rPr>
          <w:rFonts w:hint="eastAsia"/>
        </w:rPr>
        <w:tab/>
      </w:r>
      <w:r>
        <w:rPr>
          <w:rFonts w:hint="eastAsia"/>
        </w:rPr>
        <w:tab/>
      </w:r>
      <w:r>
        <w:rPr>
          <w:rFonts w:hint="eastAsia"/>
          <w:spacing w:val="2"/>
          <w:w w:val="99"/>
          <w:kern w:val="0"/>
          <w:fitText w:val="1600" w:id="1137482240"/>
        </w:rPr>
        <w:t>担保証券が国債の場</w:t>
      </w:r>
      <w:r>
        <w:rPr>
          <w:rFonts w:hint="eastAsia"/>
          <w:spacing w:val="-5"/>
          <w:w w:val="99"/>
          <w:kern w:val="0"/>
          <w:fitText w:val="1600" w:id="1137482240"/>
        </w:rPr>
        <w:t>合</w:t>
      </w:r>
      <w:r>
        <w:rPr>
          <w:rFonts w:hint="eastAsia"/>
          <w:kern w:val="0"/>
        </w:rPr>
        <w:t xml:space="preserve">　新たな担保証券を差し入れた日から２営業日目（差入日を含む。）</w:t>
      </w:r>
    </w:p>
    <w:p>
      <w:pPr>
        <w:pStyle w:val="J6"/>
        <w:ind w:left="2240" w:hanging="2081"/>
      </w:pPr>
      <w:r>
        <w:rPr>
          <w:rFonts w:hint="eastAsia"/>
        </w:rPr>
        <w:t>⑵</w:t>
      </w:r>
      <w:r>
        <w:rPr>
          <w:rFonts w:hint="eastAsia"/>
        </w:rPr>
        <w:tab/>
      </w:r>
      <w:r>
        <w:rPr>
          <w:rFonts w:hint="eastAsia"/>
        </w:rPr>
        <w:tab/>
      </w:r>
      <w:r>
        <w:rPr>
          <w:rFonts w:hAnsi="ＭＳ 明朝" w:hint="eastAsia"/>
          <w:spacing w:val="63"/>
          <w:kern w:val="0"/>
          <w:fitText w:val="1600" w:id="1137482496"/>
        </w:rPr>
        <w:t>⑴</w:t>
      </w:r>
      <w:r>
        <w:rPr>
          <w:rFonts w:hint="eastAsia"/>
          <w:spacing w:val="63"/>
          <w:kern w:val="0"/>
          <w:fitText w:val="1600" w:id="1137482496"/>
        </w:rPr>
        <w:t>以外の場</w:t>
      </w:r>
      <w:r>
        <w:rPr>
          <w:rFonts w:hint="eastAsia"/>
          <w:spacing w:val="3"/>
          <w:kern w:val="0"/>
          <w:fitText w:val="1600" w:id="1137482496"/>
        </w:rPr>
        <w:t>合</w:t>
      </w:r>
      <w:r>
        <w:rPr>
          <w:rFonts w:hint="eastAsia"/>
          <w:kern w:val="0"/>
        </w:rPr>
        <w:t xml:space="preserve">　新たな担保証券を差し入れた日から３営業日目（差入日を含む。）</w:t>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本文第７条第８項に定める担保金利率は、担保金が日本円である場合、当事者間に別段の合意があるときを除き、当事者間に担保金残高のある各日（当該各日の営業終了時点で担保金残高がある日に限る。以下、次項までにおいて「対象日」という。）毎に、[●]</w:t>
      </w:r>
      <w:r>
        <w:rPr>
          <w:rStyle w:val="a7"/>
          <w:rFonts w:hAnsi="ＭＳ 明朝"/>
          <w:sz w:val="16"/>
          <w:szCs w:val="16"/>
        </w:rPr>
        <w:endnoteReference w:id="16"/>
      </w:r>
      <w:r>
        <w:rPr>
          <w:rFonts w:hAnsi="ＭＳ 明朝" w:hint="eastAsia"/>
          <w:sz w:val="16"/>
          <w:szCs w:val="16"/>
        </w:rPr>
        <w:t>とし、当該対象日において受入担保金残高を有する当事者から他方当事者に対する担保金利息の支払時期は当該対象日の属する月の翌月最初の営業日（以下、本項において「担保金利息支払日」という。）とする。</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７条第９項に定める担保金の差入れ若しくは返戻、担保証券の差入れ又は同種、同量の担保証券の返戻を行うべき期限は、当事者間に別段の合意がある場合を除き、担保金については、通知のあった営業日の午後３時、担保証券については、通知のあった営業日の当該担保証券の決済締切時刻として市場慣行となっている時刻とする。</w:t>
      </w:r>
    </w:p>
    <w:p>
      <w:pPr>
        <w:tabs>
          <w:tab w:val="right" w:pos="426"/>
        </w:tabs>
        <w:ind w:left="284" w:hanging="284"/>
        <w:rPr>
          <w:rFonts w:hAnsi="ＭＳ 明朝"/>
          <w:sz w:val="16"/>
          <w:szCs w:val="16"/>
        </w:rPr>
      </w:pPr>
      <w:r>
        <w:rPr>
          <w:rFonts w:hAnsi="ＭＳ 明朝" w:hint="eastAsia"/>
          <w:sz w:val="16"/>
          <w:szCs w:val="16"/>
        </w:rPr>
        <w:t>５</w:t>
      </w:r>
      <w:r>
        <w:rPr>
          <w:rFonts w:hAnsi="ＭＳ 明朝" w:hint="eastAsia"/>
          <w:sz w:val="16"/>
          <w:szCs w:val="16"/>
        </w:rPr>
        <w:tab/>
        <w:t>本文第７条第11項において、請求者による通知は営業日の正午（午前12時）までに行われるものとし、他方当事者は当該通知日の営業終了時までに、当該請求者に対し、申出に対する承諾する又は承諾しない旨の意思表示を行うことができる。</w:t>
      </w:r>
    </w:p>
    <w:p>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t>本文第７条第11項に定める差替日は、当事者間に別段の合意がある場合を除き、同項における通知日から起算して、国債の場合は２営業日目（当該通知日を含む。）、国債以外の債券等の場合は３営業日目（当該通知日を含む。）とする。</w:t>
      </w:r>
    </w:p>
    <w:p>
      <w:pPr>
        <w:tabs>
          <w:tab w:val="right" w:pos="426"/>
        </w:tabs>
        <w:ind w:left="284" w:hanging="284"/>
        <w:rPr>
          <w:rFonts w:hAnsi="ＭＳ 明朝"/>
          <w:sz w:val="16"/>
          <w:szCs w:val="16"/>
        </w:rPr>
      </w:pPr>
      <w:r>
        <w:rPr>
          <w:rFonts w:hAnsi="ＭＳ 明朝" w:hint="eastAsia"/>
          <w:sz w:val="16"/>
          <w:szCs w:val="16"/>
        </w:rPr>
        <w:t>７</w:t>
      </w:r>
      <w:r>
        <w:rPr>
          <w:rFonts w:hAnsi="ＭＳ 明朝" w:hint="eastAsia"/>
          <w:sz w:val="16"/>
          <w:szCs w:val="16"/>
        </w:rPr>
        <w:tab/>
        <w:t>本文第７条第11項後段の規定にかかわらず、他方当事者が当該申出を承諾した場合には、他方当事者による同種、同量の担保証券の返戻及び請求者による新たな担保証券の差入れの方法については、当事者間に別段の合意があるときを除き、市場慣行に従うものとする。</w:t>
      </w:r>
    </w:p>
    <w:p>
      <w:pPr>
        <w:tabs>
          <w:tab w:val="right" w:pos="426"/>
        </w:tabs>
        <w:ind w:left="284" w:hanging="284"/>
        <w:rPr>
          <w:rFonts w:hAnsi="ＭＳ 明朝"/>
          <w:sz w:val="16"/>
          <w:szCs w:val="16"/>
        </w:rPr>
      </w:pPr>
      <w:r>
        <w:rPr>
          <w:rFonts w:hAnsi="ＭＳ 明朝" w:hint="eastAsia"/>
          <w:sz w:val="16"/>
          <w:szCs w:val="16"/>
        </w:rPr>
        <w:t>８</w:t>
      </w:r>
      <w:r>
        <w:rPr>
          <w:rFonts w:hAnsi="ＭＳ 明朝" w:hint="eastAsia"/>
          <w:sz w:val="16"/>
          <w:szCs w:val="16"/>
        </w:rPr>
        <w:tab/>
        <w:t>本文第７条第12項に定める担保の移転に係る詳細の通知は[本条第１項各号に定める事項を記載した受渡担保明細書の交付により行う。受渡担保明細書は、本条第１項に定める確認後又は本文第７条第11項における新たな担保証券及び同種、同量の担保証券に係る本条第１項各号に定める事項を当事者間で確認した後、遅滞なく、担保の移転を行う当事者から他方当事者に交付されるものとする。/本条第１項各号に定める事項につき当事者が合意する方法により行う。当該通知は、本条第１項に定める確認後又は本文第７条第11項における新たな担保証券及び同種、同量の担保証券に係る本条第１項各号に定める事項を当事者間で確認した後、遅滞なく、担保の移転を行う当事者から他方当事者に行うものとする。]</w:t>
      </w:r>
      <w:r>
        <w:rPr>
          <w:rStyle w:val="a7"/>
          <w:rFonts w:hAnsi="ＭＳ 明朝"/>
          <w:sz w:val="16"/>
          <w:szCs w:val="16"/>
        </w:rPr>
        <w:endnoteReference w:id="17"/>
      </w:r>
    </w:p>
    <w:p>
      <w:pPr>
        <w:tabs>
          <w:tab w:val="right" w:pos="426"/>
        </w:tabs>
        <w:ind w:left="284" w:hanging="284"/>
        <w:rPr>
          <w:rFonts w:hAnsi="ＭＳ 明朝"/>
          <w:sz w:val="16"/>
          <w:szCs w:val="16"/>
        </w:rPr>
      </w:pPr>
      <w:r>
        <w:rPr>
          <w:rFonts w:hAnsi="ＭＳ 明朝" w:hint="eastAsia"/>
          <w:sz w:val="16"/>
          <w:szCs w:val="16"/>
        </w:rPr>
        <w:t>９</w:t>
      </w:r>
      <w:r>
        <w:rPr>
          <w:rFonts w:hAnsi="ＭＳ 明朝" w:hint="eastAsia"/>
          <w:sz w:val="16"/>
          <w:szCs w:val="16"/>
        </w:rPr>
        <w:tab/>
        <w:t>本文第７条第13項第７号において、相殺後の額の金銭の支払期限の定めが再評価取引締結時になされない場合は、通知のあった営業日の午後３時を支払期限とする。</w:t>
      </w:r>
    </w:p>
    <w:p>
      <w:pPr>
        <w:rPr>
          <w:rFonts w:hAnsi="ＭＳ 明朝"/>
          <w:sz w:val="16"/>
          <w:szCs w:val="16"/>
        </w:rPr>
      </w:pPr>
      <w:r>
        <w:rPr>
          <w:rFonts w:hAnsi="ＭＳ 明朝" w:hint="eastAsia"/>
          <w:sz w:val="16"/>
          <w:szCs w:val="16"/>
        </w:rPr>
        <w:t>第 ７ 条（取引対象債券等の差替え）</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10条第１項に定める差替日は、当事者間に別段の合意がある場合を除き、同項における通知日から起算して、国債の場合は２営業日目（当該通知日を含む。）、国債以外の債券等の場合は３営業日目（当該通知日を含む。）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本文第10条第１項に基づき取引対象債券等の差替えを行う場合、新取引対象債券等に係る現先レートは、当初の取引対象債券等に係る個別現先取引で合意された現先レートとする。</w:t>
      </w:r>
    </w:p>
    <w:p>
      <w:pPr>
        <w:rPr>
          <w:rFonts w:hAnsi="ＭＳ 明朝"/>
          <w:sz w:val="16"/>
          <w:szCs w:val="16"/>
        </w:rPr>
      </w:pPr>
      <w:r>
        <w:rPr>
          <w:rFonts w:hAnsi="ＭＳ 明朝" w:hint="eastAsia"/>
          <w:sz w:val="16"/>
          <w:szCs w:val="16"/>
        </w:rPr>
        <w:t>第 ８ 条（オープンエンド取引）</w:t>
      </w:r>
    </w:p>
    <w:p>
      <w:pPr>
        <w:tabs>
          <w:tab w:val="right" w:pos="426"/>
        </w:tabs>
        <w:ind w:left="283" w:hangingChars="177" w:hanging="283"/>
        <w:rPr>
          <w:rFonts w:hAnsi="ＭＳ 明朝"/>
          <w:sz w:val="16"/>
          <w:szCs w:val="16"/>
        </w:rPr>
      </w:pPr>
      <w:r>
        <w:rPr>
          <w:rFonts w:hAnsi="ＭＳ 明朝" w:hint="eastAsia"/>
          <w:sz w:val="16"/>
          <w:szCs w:val="16"/>
        </w:rPr>
        <w:lastRenderedPageBreak/>
        <w:t>１</w:t>
      </w:r>
      <w:r>
        <w:rPr>
          <w:rFonts w:hAnsi="ＭＳ 明朝" w:hint="eastAsia"/>
          <w:sz w:val="16"/>
          <w:szCs w:val="16"/>
        </w:rPr>
        <w:tab/>
        <w:t>「オープンエンド取引」とは、個別現先取引締結時にエンド取引受渡日を定めず、当該個別現先取引は買手又は売手のいずれかがその後に指定するエンド取引受渡日に終了する取引をいう。</w:t>
      </w:r>
    </w:p>
    <w:p>
      <w:pPr>
        <w:tabs>
          <w:tab w:val="right" w:pos="426"/>
        </w:tabs>
        <w:ind w:left="283" w:hangingChars="177" w:hanging="283"/>
        <w:rPr>
          <w:rFonts w:hAnsi="ＭＳ 明朝"/>
          <w:sz w:val="16"/>
          <w:szCs w:val="16"/>
        </w:rPr>
      </w:pPr>
      <w:r>
        <w:rPr>
          <w:rFonts w:hAnsi="ＭＳ 明朝" w:hint="eastAsia"/>
          <w:sz w:val="16"/>
          <w:szCs w:val="16"/>
        </w:rPr>
        <w:t>２</w:t>
      </w:r>
      <w:r>
        <w:rPr>
          <w:rFonts w:hAnsi="ＭＳ 明朝" w:hint="eastAsia"/>
          <w:sz w:val="16"/>
          <w:szCs w:val="16"/>
        </w:rPr>
        <w:tab/>
        <w:t>両当事者が個別現先取引においてオープンエンド取引を行うことに合意した場合、各当事者は、当該個別現先取引の開始後、次項に定める方法により他方当事者に対して通知することによりエンド取引受渡日を指定できるものとし、両当事者は第５条に定めるエンド売買金額の算出方法に従いエンド売買金額を算出するものとする｡</w:t>
      </w:r>
    </w:p>
    <w:p>
      <w:pPr>
        <w:tabs>
          <w:tab w:val="right" w:pos="426"/>
        </w:tabs>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オープンエンド取引においては、各当事者は、当該取引の開始後、次の各号に掲げる方式で</w:t>
      </w:r>
      <w:r>
        <w:rPr>
          <w:rFonts w:hint="eastAsia"/>
          <w:sz w:val="16"/>
        </w:rPr>
        <w:t>他方当事者</w:t>
      </w:r>
      <w:r>
        <w:rPr>
          <w:rFonts w:hAnsi="ＭＳ 明朝" w:hint="eastAsia"/>
          <w:sz w:val="16"/>
          <w:szCs w:val="16"/>
        </w:rPr>
        <w:t>に通知することによりエンド取引受渡日を指定できるものとする。</w:t>
      </w:r>
    </w:p>
    <w:p>
      <w:pPr>
        <w:tabs>
          <w:tab w:val="right" w:pos="567"/>
        </w:tabs>
        <w:ind w:left="426" w:hanging="284"/>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エンド取引受渡日を指定する通知は、原則として指定されたエンド取引受渡日を受渡日とする当該個別現先取引に係る取引対象債券等の通常の売買約定日に相当する日の正午（午前12時）までに行うものとする。</w:t>
      </w:r>
    </w:p>
    <w:p>
      <w:pPr>
        <w:tabs>
          <w:tab w:val="right" w:pos="567"/>
        </w:tabs>
        <w:ind w:left="426" w:hanging="284"/>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エンド取引受渡日を指定する通知は、エンド取引受渡日を指定するオープンエンド取引を特定したうえで行うものとする。</w:t>
      </w:r>
    </w:p>
    <w:p>
      <w:pPr>
        <w:rPr>
          <w:rFonts w:hAnsi="ＭＳ 明朝"/>
          <w:sz w:val="16"/>
          <w:szCs w:val="16"/>
        </w:rPr>
      </w:pPr>
      <w:r>
        <w:rPr>
          <w:rFonts w:hAnsi="ＭＳ 明朝" w:hint="eastAsia"/>
          <w:sz w:val="16"/>
          <w:szCs w:val="16"/>
        </w:rPr>
        <w:t>第 ９ 条（その他合意事項）</w:t>
      </w:r>
      <w:r>
        <w:rPr>
          <w:rStyle w:val="a7"/>
          <w:rFonts w:hAnsi="ＭＳ 明朝"/>
          <w:sz w:val="16"/>
          <w:szCs w:val="16"/>
        </w:rPr>
        <w:endnoteReference w:id="18"/>
      </w:r>
    </w:p>
    <w:p>
      <w:pPr>
        <w:pStyle w:val="J3"/>
        <w:rPr>
          <w:rFonts w:hAnsi="ＭＳ 明朝"/>
          <w:color w:val="auto"/>
        </w:rPr>
      </w:pPr>
      <w:r>
        <w:rPr>
          <w:rFonts w:hAnsi="ＭＳ 明朝" w:hint="eastAsia"/>
          <w:color w:val="auto"/>
        </w:rPr>
        <w:t>１</w:t>
      </w:r>
      <w:r>
        <w:rPr>
          <w:rFonts w:hAnsi="ＭＳ 明朝"/>
          <w:color w:val="auto"/>
        </w:rPr>
        <w:tab/>
      </w:r>
      <w:r>
        <w:rPr>
          <w:rFonts w:hAnsi="ＭＳ 明朝" w:hint="eastAsia"/>
          <w:color w:val="auto"/>
        </w:rPr>
        <w:t>第６条第２項、同条第６項及び第７条第１項に定める「２営業日目」は、日本における国債取引の決済期間につきアウトライト取引の約定日後１営業日における決済（Ｔ＋１決済）への移行が決定された場合における、当該移行後の決済期間が適用される取引以外の取引については、「３営業日目」と読み替えるものとする。</w:t>
      </w:r>
    </w:p>
    <w:p>
      <w:pPr>
        <w:pStyle w:val="J3"/>
        <w:rPr>
          <w:color w:val="auto"/>
        </w:rPr>
      </w:pPr>
      <w:r>
        <w:rPr>
          <w:rFonts w:hAnsi="ＭＳ 明朝" w:hint="eastAsia"/>
          <w:color w:val="auto"/>
        </w:rPr>
        <w:t>２</w:t>
      </w:r>
      <w:r>
        <w:rPr>
          <w:rFonts w:hAnsi="ＭＳ 明朝" w:hint="eastAsia"/>
          <w:color w:val="auto"/>
        </w:rPr>
        <w:tab/>
        <w:t>[本文第２条第13号①ロ又は同号②ロにおける時価総額は、①非債務不履行当事者により任意に選択される、非債務不履行当事者を除いた３社以上の金融商品取引業者、金融商品取引法第33条の２に定める登録を受けた金融機関又は非債務不履行当事者が適当と認めるその他の金融機関等から提示される時価より、最高値と最低値のそれぞれ１社分を除いた残りの値（複数ある場合はそれらの単純平均値）に基づき、非債務不履行当事者が計算するものとし、②３社以上の当該金融機関等より時価が提示されなかった場合、非債務不履行当事者が合理的に計算するものとする。]</w:t>
      </w:r>
      <w:r>
        <w:rPr>
          <w:rStyle w:val="a7"/>
          <w:rFonts w:hAnsi="ＭＳ 明朝"/>
          <w:color w:val="auto"/>
        </w:rPr>
        <w:endnoteReference w:id="19"/>
      </w:r>
      <w:r>
        <w:rPr>
          <w:rFonts w:hint="eastAsia"/>
          <w:color w:val="auto"/>
        </w:rPr>
        <w:t>ただし、本文第11条第４項が適用される場合、本項の規定は適用しない。</w:t>
      </w:r>
    </w:p>
    <w:p>
      <w:pPr>
        <w:pStyle w:val="J3"/>
        <w:rPr>
          <w:color w:val="auto"/>
        </w:rPr>
      </w:pPr>
    </w:p>
    <w:p>
      <w:pPr>
        <w:pStyle w:val="J3"/>
        <w:rPr>
          <w:color w:val="auto"/>
        </w:rPr>
      </w:pPr>
    </w:p>
    <w:p>
      <w:pPr>
        <w:pStyle w:val="J3"/>
        <w:jc w:val="center"/>
        <w:rPr>
          <w:color w:val="auto"/>
          <w:sz w:val="20"/>
        </w:rPr>
      </w:pPr>
      <w:r>
        <w:rPr>
          <w:color w:val="auto"/>
          <w:sz w:val="20"/>
        </w:rPr>
        <w:br w:type="page"/>
      </w:r>
      <w:r>
        <w:rPr>
          <w:rFonts w:hint="eastAsia"/>
          <w:color w:val="auto"/>
          <w:sz w:val="20"/>
        </w:rPr>
        <w:lastRenderedPageBreak/>
        <w:t>別紙２</w:t>
      </w:r>
    </w:p>
    <w:p>
      <w:pPr>
        <w:pStyle w:val="J3"/>
        <w:jc w:val="center"/>
        <w:rPr>
          <w:color w:val="auto"/>
        </w:rPr>
      </w:pPr>
      <w:r>
        <w:rPr>
          <w:rFonts w:hint="eastAsia"/>
          <w:color w:val="auto"/>
          <w:sz w:val="20"/>
        </w:rPr>
        <w:t>銘柄後決め現先取引に関する合意事項</w:t>
      </w:r>
    </w:p>
    <w:p>
      <w:pPr>
        <w:pStyle w:val="J3"/>
        <w:ind w:left="0" w:firstLine="0"/>
        <w:rPr>
          <w:color w:val="auto"/>
        </w:rPr>
      </w:pPr>
    </w:p>
    <w:p>
      <w:pPr>
        <w:pStyle w:val="J3"/>
        <w:ind w:left="0" w:firstLine="0"/>
        <w:rPr>
          <w:rFonts w:hAnsi="ＭＳ 明朝"/>
          <w:color w:val="auto"/>
        </w:rPr>
      </w:pPr>
      <w:r>
        <w:rPr>
          <w:rFonts w:hAnsi="ＭＳ 明朝" w:hint="eastAsia"/>
          <w:color w:val="auto"/>
        </w:rPr>
        <w:t>第 １ 条（適用）</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甲と乙との間で行われる個別現先取引のうち、銘柄割当機関規則等の適用を受ける銘柄後決め現先取引に該当するものについては、本別紙２が適用されるものとする。</w:t>
      </w:r>
    </w:p>
    <w:p>
      <w:pPr>
        <w:tabs>
          <w:tab w:val="right" w:pos="426"/>
        </w:tabs>
        <w:ind w:left="284" w:hanging="284"/>
        <w:rPr>
          <w:sz w:val="16"/>
        </w:rPr>
      </w:pPr>
      <w:r>
        <w:rPr>
          <w:rFonts w:hAnsi="ＭＳ 明朝" w:hint="eastAsia"/>
          <w:sz w:val="16"/>
          <w:szCs w:val="16"/>
        </w:rPr>
        <w:t>２</w:t>
      </w:r>
      <w:r>
        <w:rPr>
          <w:rFonts w:hAnsi="ＭＳ 明朝" w:hint="eastAsia"/>
          <w:sz w:val="16"/>
          <w:szCs w:val="16"/>
        </w:rPr>
        <w:tab/>
        <w:t>本別紙２</w:t>
      </w:r>
      <w:r>
        <w:rPr>
          <w:rFonts w:hint="eastAsia"/>
          <w:sz w:val="16"/>
        </w:rPr>
        <w:t>の適用を受ける銘柄後決め現先取引について、</w:t>
      </w:r>
      <w:r>
        <w:rPr>
          <w:rFonts w:hAnsi="ＭＳ 明朝" w:hint="eastAsia"/>
          <w:sz w:val="16"/>
          <w:szCs w:val="16"/>
        </w:rPr>
        <w:t>次の各号に掲げる用語の定義は、</w:t>
      </w:r>
      <w:r>
        <w:rPr>
          <w:rFonts w:hint="eastAsia"/>
          <w:sz w:val="16"/>
        </w:rPr>
        <w:t>本文第２条の規定にかかわらず</w:t>
      </w:r>
      <w:r>
        <w:rPr>
          <w:rFonts w:hAnsi="ＭＳ 明朝" w:hint="eastAsia"/>
          <w:sz w:val="16"/>
          <w:szCs w:val="16"/>
        </w:rPr>
        <w:t>当該各号に定めるところによる。</w:t>
      </w:r>
    </w:p>
    <w:p>
      <w:pPr>
        <w:pStyle w:val="J6"/>
        <w:ind w:left="2240" w:hanging="2081"/>
        <w:rPr>
          <w:shd w:val="pct15" w:color="auto" w:fill="FFFFFF"/>
        </w:rPr>
      </w:pPr>
      <w:r>
        <w:rPr>
          <w:rFonts w:hint="eastAsia"/>
        </w:rPr>
        <w:t>⑴</w:t>
      </w:r>
      <w:r>
        <w:rPr>
          <w:rFonts w:hint="eastAsia"/>
        </w:rPr>
        <w:tab/>
      </w:r>
      <w:r>
        <w:rPr>
          <w:rFonts w:hint="eastAsia"/>
        </w:rPr>
        <w:tab/>
      </w:r>
      <w:r>
        <w:rPr>
          <w:rFonts w:hint="eastAsia"/>
          <w:spacing w:val="23"/>
          <w:kern w:val="0"/>
          <w:fitText w:val="1600" w:id="1005872385"/>
        </w:rPr>
        <w:t>スタート売買金</w:t>
      </w:r>
      <w:r>
        <w:rPr>
          <w:rFonts w:hint="eastAsia"/>
          <w:kern w:val="0"/>
          <w:fitText w:val="1600" w:id="1005872385"/>
        </w:rPr>
        <w:t>額</w:t>
      </w:r>
      <w:r>
        <w:rPr>
          <w:rFonts w:hint="eastAsia"/>
        </w:rPr>
        <w:t xml:space="preserve">　スタート取引の受渡金額として、個別現先取引で定める金額をいう。</w:t>
      </w:r>
    </w:p>
    <w:p>
      <w:pPr>
        <w:pStyle w:val="J6"/>
        <w:ind w:left="2240" w:hanging="2081"/>
      </w:pPr>
      <w:r>
        <w:rPr>
          <w:rFonts w:hint="eastAsia"/>
        </w:rPr>
        <w:t>⑵</w:t>
      </w:r>
      <w:r>
        <w:rPr>
          <w:rFonts w:hint="eastAsia"/>
        </w:rPr>
        <w:tab/>
      </w:r>
      <w:r>
        <w:rPr>
          <w:rFonts w:hint="eastAsia"/>
        </w:rPr>
        <w:tab/>
      </w:r>
      <w:r>
        <w:rPr>
          <w:rFonts w:hint="eastAsia"/>
          <w:spacing w:val="40"/>
          <w:kern w:val="0"/>
          <w:fitText w:val="1600" w:id="1005872387"/>
        </w:rPr>
        <w:t>取引対象債券</w:t>
      </w:r>
      <w:r>
        <w:rPr>
          <w:rFonts w:hint="eastAsia"/>
          <w:kern w:val="0"/>
          <w:fitText w:val="1600" w:id="1005872387"/>
        </w:rPr>
        <w:t>等</w:t>
      </w:r>
      <w:r>
        <w:rPr>
          <w:rFonts w:hint="eastAsia"/>
        </w:rPr>
        <w:t xml:space="preserve">　スタート取引において売買の対象となる債券等として、個別現先取引で定めるバスケットに基づき</w:t>
      </w:r>
      <w:r>
        <w:rPr>
          <w:rFonts w:hAnsi="ＭＳ 明朝" w:hint="eastAsia"/>
        </w:rPr>
        <w:t>銘柄割当機関</w:t>
      </w:r>
      <w:r>
        <w:rPr>
          <w:rFonts w:hint="eastAsia"/>
        </w:rPr>
        <w:t>が割り当てたものをいう。</w:t>
      </w:r>
    </w:p>
    <w:p>
      <w:pPr>
        <w:pStyle w:val="J6"/>
        <w:ind w:left="2240" w:hanging="2081"/>
      </w:pPr>
      <w:r>
        <w:rPr>
          <w:rFonts w:hint="eastAsia"/>
        </w:rPr>
        <w:t>⑶</w:t>
      </w:r>
      <w:r>
        <w:rPr>
          <w:rFonts w:hint="eastAsia"/>
        </w:rPr>
        <w:tab/>
      </w:r>
      <w:r>
        <w:rPr>
          <w:rFonts w:hint="eastAsia"/>
        </w:rPr>
        <w:tab/>
      </w:r>
      <w:r>
        <w:rPr>
          <w:rFonts w:hint="eastAsia"/>
          <w:spacing w:val="100"/>
          <w:kern w:val="0"/>
          <w:fitText w:val="1600" w:id="1010586624"/>
        </w:rPr>
        <w:t>バスケッ</w:t>
      </w:r>
      <w:r>
        <w:rPr>
          <w:rFonts w:hint="eastAsia"/>
          <w:kern w:val="0"/>
          <w:fitText w:val="1600" w:id="1010586624"/>
        </w:rPr>
        <w:t>ト</w:t>
      </w:r>
      <w:r>
        <w:rPr>
          <w:rFonts w:hint="eastAsia"/>
        </w:rPr>
        <w:t xml:space="preserve">　銘柄後決め現先取引において割当対象とする債券等の銘柄の範囲を特定するために、</w:t>
      </w:r>
      <w:r>
        <w:rPr>
          <w:rFonts w:hAnsi="ＭＳ 明朝" w:hint="eastAsia"/>
        </w:rPr>
        <w:t>銘柄割当機関</w:t>
      </w:r>
      <w:r>
        <w:rPr>
          <w:rFonts w:hint="eastAsia"/>
        </w:rPr>
        <w:t>が</w:t>
      </w:r>
      <w:r>
        <w:rPr>
          <w:rFonts w:hAnsi="ＭＳ 明朝" w:hint="eastAsia"/>
        </w:rPr>
        <w:t>銘柄割当機関規則等</w:t>
      </w:r>
      <w:r>
        <w:rPr>
          <w:rFonts w:hint="eastAsia"/>
        </w:rPr>
        <w:t>に基づき設定する債券等の種類をいう。個別現先取引においては、当該個別現先取引で定めるものをいう。</w:t>
      </w:r>
    </w:p>
    <w:p>
      <w:pPr>
        <w:pStyle w:val="J6"/>
        <w:ind w:left="2240" w:hanging="2081"/>
      </w:pPr>
      <w:r>
        <w:rPr>
          <w:rFonts w:hint="eastAsia"/>
        </w:rPr>
        <w:t>⑷</w:t>
      </w:r>
      <w:r>
        <w:rPr>
          <w:rFonts w:hint="eastAsia"/>
        </w:rPr>
        <w:tab/>
      </w:r>
      <w:r>
        <w:rPr>
          <w:rFonts w:hint="eastAsia"/>
        </w:rPr>
        <w:tab/>
      </w:r>
      <w:r>
        <w:rPr>
          <w:rFonts w:hint="eastAsia"/>
          <w:spacing w:val="10"/>
          <w:kern w:val="0"/>
          <w:fitText w:val="1600" w:id="1010578176"/>
        </w:rPr>
        <w:t>銘柄後決め現先取</w:t>
      </w:r>
      <w:r>
        <w:rPr>
          <w:rFonts w:hint="eastAsia"/>
          <w:kern w:val="0"/>
          <w:fitText w:val="1600" w:id="1010578176"/>
        </w:rPr>
        <w:t>引</w:t>
      </w:r>
      <w:r>
        <w:rPr>
          <w:rFonts w:hint="eastAsia"/>
        </w:rPr>
        <w:t xml:space="preserve">　個別現先取引の</w:t>
      </w:r>
      <w:r>
        <w:rPr>
          <w:rFonts w:hAnsi="ＭＳ 明朝" w:hint="eastAsia"/>
        </w:rPr>
        <w:t>成立</w:t>
      </w:r>
      <w:r>
        <w:rPr>
          <w:rFonts w:hint="eastAsia"/>
        </w:rPr>
        <w:t>時において、スタート取引における売買の対象となる債券等をバスケットにより特定する個別現先取引をいう。</w:t>
      </w:r>
    </w:p>
    <w:p>
      <w:pPr>
        <w:pStyle w:val="J6"/>
        <w:ind w:left="2240" w:hanging="2081"/>
        <w:rPr>
          <w:rFonts w:hAnsi="ＭＳ 明朝"/>
        </w:rPr>
      </w:pPr>
      <w:r>
        <w:rPr>
          <w:rFonts w:hint="eastAsia"/>
        </w:rPr>
        <w:t>⑸</w:t>
      </w:r>
      <w:r>
        <w:rPr>
          <w:rFonts w:hAnsi="ＭＳ 明朝" w:hint="eastAsia"/>
        </w:rPr>
        <w:tab/>
      </w:r>
      <w:r>
        <w:rPr>
          <w:rFonts w:hAnsi="ＭＳ 明朝" w:hint="eastAsia"/>
        </w:rPr>
        <w:tab/>
      </w:r>
      <w:r>
        <w:rPr>
          <w:rFonts w:hAnsi="ＭＳ 明朝" w:hint="eastAsia"/>
          <w:spacing w:val="64"/>
          <w:kern w:val="0"/>
          <w:fitText w:val="1600" w:id="1010599936"/>
        </w:rPr>
        <w:t>銘柄割当機</w:t>
      </w:r>
      <w:r>
        <w:rPr>
          <w:rFonts w:hAnsi="ＭＳ 明朝" w:hint="eastAsia"/>
          <w:kern w:val="0"/>
          <w:fitText w:val="1600" w:id="1010599936"/>
        </w:rPr>
        <w:t>関</w:t>
      </w:r>
      <w:r>
        <w:rPr>
          <w:rFonts w:hAnsi="ＭＳ 明朝" w:hint="eastAsia"/>
          <w:kern w:val="0"/>
        </w:rPr>
        <w:t xml:space="preserve">　</w:t>
      </w:r>
      <w:r>
        <w:rPr>
          <w:rFonts w:hAnsi="ＭＳ 明朝" w:hint="eastAsia"/>
        </w:rPr>
        <w:t>[●]</w:t>
      </w:r>
      <w:r>
        <w:rPr>
          <w:rStyle w:val="a7"/>
          <w:rFonts w:hAnsi="ＭＳ 明朝"/>
        </w:rPr>
        <w:endnoteReference w:id="20"/>
      </w:r>
      <w:r>
        <w:rPr>
          <w:rFonts w:hAnsi="ＭＳ 明朝" w:hint="eastAsia"/>
        </w:rPr>
        <w:t>をいう。</w:t>
      </w:r>
    </w:p>
    <w:p>
      <w:pPr>
        <w:pStyle w:val="J6"/>
        <w:ind w:left="2240" w:hanging="2081"/>
      </w:pPr>
      <w:r>
        <w:rPr>
          <w:rFonts w:hAnsi="ＭＳ 明朝" w:hint="eastAsia"/>
        </w:rPr>
        <w:t>⑹</w:t>
      </w:r>
      <w:r>
        <w:rPr>
          <w:rFonts w:hAnsi="ＭＳ 明朝" w:hint="eastAsia"/>
        </w:rPr>
        <w:tab/>
      </w:r>
      <w:r>
        <w:rPr>
          <w:rFonts w:hAnsi="ＭＳ 明朝" w:hint="eastAsia"/>
        </w:rPr>
        <w:tab/>
      </w:r>
      <w:r>
        <w:rPr>
          <w:rFonts w:hAnsi="ＭＳ 明朝" w:hint="eastAsia"/>
          <w:spacing w:val="10"/>
          <w:kern w:val="0"/>
          <w:fitText w:val="1600" w:id="1010599680"/>
        </w:rPr>
        <w:t>銘柄割当機関規則</w:t>
      </w:r>
      <w:r>
        <w:rPr>
          <w:rFonts w:hAnsi="ＭＳ 明朝" w:hint="eastAsia"/>
          <w:kern w:val="0"/>
          <w:fitText w:val="1600" w:id="1010599680"/>
        </w:rPr>
        <w:t>等</w:t>
      </w:r>
      <w:r>
        <w:rPr>
          <w:rFonts w:hAnsi="ＭＳ 明朝" w:hint="eastAsia"/>
        </w:rPr>
        <w:t xml:space="preserve">　銘柄後決め現先取引に該当する個別現先取引に係る取引対象債券等の割当等に関する定めを規定する、①銘柄割当機関が定める規程、業務方法書その他の規則（当該規則に係る関連諸規則及び当該規則に関連して締結される契約等を含む。）又は②両当事者を拘束する銘柄割当機関との間の契約をいう。</w:t>
      </w:r>
    </w:p>
    <w:p>
      <w:pPr>
        <w:rPr>
          <w:rFonts w:hAnsi="ＭＳ 明朝"/>
          <w:sz w:val="16"/>
          <w:szCs w:val="16"/>
        </w:rPr>
      </w:pPr>
      <w:r>
        <w:rPr>
          <w:rFonts w:hAnsi="ＭＳ 明朝" w:hint="eastAsia"/>
          <w:sz w:val="16"/>
          <w:szCs w:val="16"/>
        </w:rPr>
        <w:t>第 ２ 条（個別取引明細書の交付又は個別現先取引内容の確認）</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本文第３条第２項の規定に基づく個別取引明細書又は契約内容の確認は、本条に定めるところに従って行う。</w:t>
      </w:r>
    </w:p>
    <w:p>
      <w:pPr>
        <w:tabs>
          <w:tab w:val="right" w:pos="426"/>
        </w:tabs>
        <w:ind w:left="282" w:hangingChars="176" w:hanging="282"/>
        <w:rPr>
          <w:rFonts w:hAnsi="ＭＳ 明朝"/>
          <w:sz w:val="16"/>
          <w:szCs w:val="16"/>
        </w:rPr>
      </w:pPr>
      <w:r>
        <w:rPr>
          <w:rFonts w:hAnsi="ＭＳ 明朝" w:hint="eastAsia"/>
          <w:sz w:val="16"/>
          <w:szCs w:val="16"/>
        </w:rPr>
        <w:t>２</w:t>
      </w:r>
      <w:r>
        <w:rPr>
          <w:rFonts w:hAnsi="ＭＳ 明朝" w:hint="eastAsia"/>
          <w:sz w:val="16"/>
          <w:szCs w:val="16"/>
        </w:rPr>
        <w:tab/>
        <w:t>[[●]</w:t>
      </w:r>
      <w:r>
        <w:rPr>
          <w:rStyle w:val="a7"/>
          <w:rFonts w:hAnsi="ＭＳ 明朝"/>
          <w:sz w:val="16"/>
          <w:szCs w:val="16"/>
        </w:rPr>
        <w:endnoteReference w:id="21"/>
      </w:r>
      <w:r>
        <w:rPr>
          <w:rFonts w:hAnsi="ＭＳ 明朝" w:hint="eastAsia"/>
          <w:sz w:val="16"/>
          <w:szCs w:val="16"/>
        </w:rPr>
        <w:t>（以下、本条において「交付者」という。）は、本文第３条第１項により個別現先取引が成立した場合、[他方当事者（以下、本条において「受領者」という。）に対し、[速やかに]</w:t>
      </w:r>
      <w:r>
        <w:rPr>
          <w:rStyle w:val="a7"/>
          <w:rFonts w:hAnsi="ＭＳ 明朝"/>
          <w:sz w:val="16"/>
          <w:szCs w:val="16"/>
        </w:rPr>
        <w:endnoteReference w:id="22"/>
      </w:r>
      <w:r>
        <w:rPr>
          <w:rFonts w:hAnsi="ＭＳ 明朝" w:hint="eastAsia"/>
          <w:sz w:val="16"/>
          <w:szCs w:val="16"/>
        </w:rPr>
        <w:t>、本基本契約書に準拠する旨及び次項に定める事項を記載した個別取引明細書を交付する。受領者は、交付を受けた個別取引明細書を速やかに確認し、契約内容と相違がある場合には直ちに交付者に連絡するものとする。かかる連絡を行わなかった場合、受領者は個別取引明細書の内容に同意したものとみなす。/両当事者は、本文第３条第１項により個別現先取引が成立した場合、[速やかに]</w:t>
      </w:r>
      <w:r>
        <w:rPr>
          <w:rStyle w:val="a7"/>
          <w:rFonts w:hAnsi="ＭＳ 明朝"/>
          <w:sz w:val="16"/>
          <w:szCs w:val="16"/>
        </w:rPr>
        <w:endnoteReference w:id="23"/>
      </w:r>
      <w:r>
        <w:rPr>
          <w:rFonts w:hAnsi="ＭＳ 明朝" w:hint="eastAsia"/>
          <w:sz w:val="16"/>
          <w:szCs w:val="16"/>
        </w:rPr>
        <w:t>、[●]</w:t>
      </w:r>
      <w:r>
        <w:rPr>
          <w:rStyle w:val="a7"/>
          <w:rFonts w:hAnsi="ＭＳ 明朝"/>
          <w:sz w:val="16"/>
          <w:szCs w:val="16"/>
        </w:rPr>
        <w:endnoteReference w:id="24"/>
      </w:r>
      <w:r>
        <w:rPr>
          <w:rFonts w:hAnsi="ＭＳ 明朝" w:hint="eastAsia"/>
          <w:sz w:val="16"/>
          <w:szCs w:val="16"/>
        </w:rPr>
        <w:t>によって、次項に定める事項を確認するものとする。]</w:t>
      </w:r>
      <w:r>
        <w:rPr>
          <w:rStyle w:val="a7"/>
          <w:rFonts w:hAnsi="ＭＳ 明朝"/>
          <w:sz w:val="16"/>
          <w:szCs w:val="16"/>
        </w:rPr>
        <w:endnoteReference w:id="25"/>
      </w:r>
    </w:p>
    <w:p>
      <w:pPr>
        <w:tabs>
          <w:tab w:val="right" w:pos="426"/>
        </w:tabs>
        <w:ind w:left="282" w:hangingChars="176" w:hanging="282"/>
        <w:rPr>
          <w:rFonts w:hAnsi="ＭＳ 明朝"/>
          <w:sz w:val="16"/>
          <w:szCs w:val="16"/>
        </w:rPr>
      </w:pPr>
      <w:r>
        <w:rPr>
          <w:rFonts w:hAnsi="ＭＳ 明朝" w:hint="eastAsia"/>
          <w:sz w:val="16"/>
          <w:szCs w:val="16"/>
        </w:rPr>
        <w:t>３</w:t>
      </w:r>
      <w:r>
        <w:rPr>
          <w:rFonts w:hAnsi="ＭＳ 明朝" w:hint="eastAsia"/>
          <w:sz w:val="16"/>
          <w:szCs w:val="16"/>
        </w:rPr>
        <w:tab/>
        <w:t>個別取引明細書に記載すべき事項又は確認すべき契約内容は、次の各号に掲げる事項とする。</w:t>
      </w:r>
    </w:p>
    <w:p>
      <w:pPr>
        <w:tabs>
          <w:tab w:val="right" w:pos="567"/>
        </w:tabs>
        <w:ind w:left="426" w:hanging="267"/>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買手及び売手の名称</w:t>
      </w:r>
    </w:p>
    <w:p>
      <w:pPr>
        <w:tabs>
          <w:tab w:val="right" w:pos="567"/>
        </w:tabs>
        <w:ind w:left="426" w:hanging="267"/>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バスケット</w:t>
      </w:r>
    </w:p>
    <w:p>
      <w:pPr>
        <w:tabs>
          <w:tab w:val="right" w:pos="567"/>
        </w:tabs>
        <w:ind w:left="426" w:hanging="267"/>
        <w:rPr>
          <w:rFonts w:hAnsi="ＭＳ 明朝"/>
          <w:sz w:val="16"/>
          <w:szCs w:val="16"/>
        </w:rPr>
      </w:pPr>
      <w:r>
        <w:rPr>
          <w:rFonts w:hAnsi="ＭＳ 明朝" w:hint="eastAsia"/>
          <w:sz w:val="16"/>
          <w:szCs w:val="16"/>
        </w:rPr>
        <w:t>⑶</w:t>
      </w:r>
      <w:r>
        <w:rPr>
          <w:rFonts w:hAnsi="ＭＳ 明朝"/>
          <w:sz w:val="16"/>
          <w:szCs w:val="16"/>
        </w:rPr>
        <w:tab/>
      </w:r>
      <w:r>
        <w:rPr>
          <w:rFonts w:hAnsi="ＭＳ 明朝" w:hint="eastAsia"/>
          <w:sz w:val="16"/>
          <w:szCs w:val="16"/>
        </w:rPr>
        <w:t>現先レート</w:t>
      </w:r>
    </w:p>
    <w:p>
      <w:pPr>
        <w:tabs>
          <w:tab w:val="right" w:pos="567"/>
        </w:tabs>
        <w:ind w:left="426" w:hanging="267"/>
        <w:rPr>
          <w:rFonts w:hAnsi="ＭＳ 明朝"/>
          <w:sz w:val="16"/>
          <w:szCs w:val="16"/>
        </w:rPr>
      </w:pPr>
      <w:r>
        <w:rPr>
          <w:rFonts w:hAnsi="ＭＳ 明朝" w:hint="eastAsia"/>
          <w:sz w:val="16"/>
          <w:szCs w:val="16"/>
        </w:rPr>
        <w:t>⑷</w:t>
      </w:r>
      <w:r>
        <w:rPr>
          <w:rFonts w:hAnsi="ＭＳ 明朝"/>
          <w:sz w:val="16"/>
          <w:szCs w:val="16"/>
        </w:rPr>
        <w:tab/>
      </w:r>
      <w:r>
        <w:rPr>
          <w:rFonts w:hAnsi="ＭＳ 明朝" w:hint="eastAsia"/>
          <w:sz w:val="16"/>
          <w:szCs w:val="16"/>
        </w:rPr>
        <w:t>取引約定日</w:t>
      </w:r>
    </w:p>
    <w:p>
      <w:pPr>
        <w:tabs>
          <w:tab w:val="right" w:pos="567"/>
        </w:tabs>
        <w:ind w:left="426" w:hanging="267"/>
        <w:rPr>
          <w:rFonts w:hAnsi="ＭＳ 明朝"/>
          <w:sz w:val="16"/>
          <w:szCs w:val="16"/>
        </w:rPr>
      </w:pPr>
      <w:r>
        <w:rPr>
          <w:rFonts w:hAnsi="ＭＳ 明朝" w:hint="eastAsia"/>
          <w:sz w:val="16"/>
          <w:szCs w:val="16"/>
        </w:rPr>
        <w:t>⑸</w:t>
      </w:r>
      <w:r>
        <w:rPr>
          <w:rFonts w:hAnsi="ＭＳ 明朝"/>
          <w:sz w:val="16"/>
          <w:szCs w:val="16"/>
        </w:rPr>
        <w:tab/>
      </w:r>
      <w:r>
        <w:rPr>
          <w:rFonts w:hAnsi="ＭＳ 明朝" w:hint="eastAsia"/>
          <w:sz w:val="16"/>
          <w:szCs w:val="16"/>
        </w:rPr>
        <w:t>スタート取引受渡日</w:t>
      </w:r>
    </w:p>
    <w:p>
      <w:pPr>
        <w:tabs>
          <w:tab w:val="right" w:pos="567"/>
        </w:tabs>
        <w:ind w:left="426" w:hanging="267"/>
        <w:rPr>
          <w:rFonts w:hAnsi="ＭＳ 明朝"/>
          <w:sz w:val="16"/>
          <w:szCs w:val="16"/>
        </w:rPr>
      </w:pPr>
      <w:r>
        <w:rPr>
          <w:rFonts w:hAnsi="ＭＳ 明朝" w:hint="eastAsia"/>
          <w:sz w:val="16"/>
          <w:szCs w:val="16"/>
        </w:rPr>
        <w:t>⑹</w:t>
      </w:r>
      <w:r>
        <w:rPr>
          <w:rFonts w:hAnsi="ＭＳ 明朝"/>
          <w:sz w:val="16"/>
          <w:szCs w:val="16"/>
        </w:rPr>
        <w:tab/>
      </w:r>
      <w:r>
        <w:rPr>
          <w:rFonts w:hAnsi="ＭＳ 明朝" w:hint="eastAsia"/>
          <w:sz w:val="16"/>
          <w:szCs w:val="16"/>
        </w:rPr>
        <w:t>スタート売買金額</w:t>
      </w:r>
    </w:p>
    <w:p>
      <w:pPr>
        <w:tabs>
          <w:tab w:val="right" w:pos="567"/>
        </w:tabs>
        <w:ind w:left="426" w:hanging="267"/>
        <w:rPr>
          <w:rFonts w:hAnsi="ＭＳ 明朝"/>
          <w:sz w:val="16"/>
          <w:szCs w:val="16"/>
        </w:rPr>
      </w:pPr>
      <w:r>
        <w:rPr>
          <w:rFonts w:hAnsi="ＭＳ 明朝" w:hint="eastAsia"/>
          <w:sz w:val="16"/>
          <w:szCs w:val="16"/>
        </w:rPr>
        <w:t>⑺</w:t>
      </w:r>
      <w:r>
        <w:rPr>
          <w:rFonts w:hAnsi="ＭＳ 明朝"/>
          <w:sz w:val="16"/>
          <w:szCs w:val="16"/>
        </w:rPr>
        <w:tab/>
      </w:r>
      <w:r>
        <w:rPr>
          <w:rFonts w:hAnsi="ＭＳ 明朝" w:hint="eastAsia"/>
          <w:sz w:val="16"/>
          <w:szCs w:val="16"/>
        </w:rPr>
        <w:t>エンド取引受渡日</w:t>
      </w:r>
    </w:p>
    <w:p>
      <w:pPr>
        <w:tabs>
          <w:tab w:val="right" w:pos="567"/>
        </w:tabs>
        <w:ind w:left="426" w:hanging="267"/>
        <w:rPr>
          <w:rFonts w:hAnsi="ＭＳ 明朝"/>
          <w:sz w:val="16"/>
          <w:szCs w:val="16"/>
        </w:rPr>
      </w:pPr>
      <w:r>
        <w:rPr>
          <w:rFonts w:hAnsi="ＭＳ 明朝" w:hint="eastAsia"/>
          <w:sz w:val="16"/>
          <w:szCs w:val="16"/>
        </w:rPr>
        <w:t>⑻</w:t>
      </w:r>
      <w:r>
        <w:rPr>
          <w:rFonts w:hAnsi="ＭＳ 明朝"/>
          <w:sz w:val="16"/>
          <w:szCs w:val="16"/>
        </w:rPr>
        <w:tab/>
      </w:r>
      <w:r>
        <w:rPr>
          <w:rFonts w:hAnsi="ＭＳ 明朝" w:hint="eastAsia"/>
          <w:sz w:val="16"/>
          <w:szCs w:val="16"/>
        </w:rPr>
        <w:t>エンド売買金額</w:t>
      </w:r>
    </w:p>
    <w:p>
      <w:pPr>
        <w:tabs>
          <w:tab w:val="right" w:pos="567"/>
        </w:tabs>
        <w:ind w:left="426" w:hanging="267"/>
        <w:rPr>
          <w:rFonts w:hAnsi="ＭＳ 明朝"/>
          <w:sz w:val="16"/>
          <w:szCs w:val="16"/>
        </w:rPr>
      </w:pPr>
      <w:r>
        <w:rPr>
          <w:rFonts w:hAnsi="ＭＳ 明朝" w:hint="eastAsia"/>
          <w:sz w:val="16"/>
          <w:szCs w:val="16"/>
        </w:rPr>
        <w:t>⑼</w:t>
      </w:r>
      <w:r>
        <w:rPr>
          <w:rFonts w:hAnsi="ＭＳ 明朝"/>
          <w:sz w:val="16"/>
          <w:szCs w:val="16"/>
        </w:rPr>
        <w:tab/>
      </w:r>
      <w:r>
        <w:rPr>
          <w:rFonts w:hAnsi="ＭＳ 明朝" w:hint="eastAsia"/>
          <w:sz w:val="16"/>
          <w:szCs w:val="16"/>
        </w:rPr>
        <w:t>その他当該個別現先取引について特に定める事項</w:t>
      </w:r>
    </w:p>
    <w:p>
      <w:pPr>
        <w:rPr>
          <w:rFonts w:hAnsi="ＭＳ 明朝"/>
          <w:sz w:val="16"/>
          <w:szCs w:val="16"/>
        </w:rPr>
      </w:pPr>
      <w:r>
        <w:rPr>
          <w:rFonts w:hAnsi="ＭＳ 明朝" w:hint="eastAsia"/>
          <w:sz w:val="16"/>
          <w:szCs w:val="16"/>
        </w:rPr>
        <w:t>第 ３ 条（エンド売買金額の算出）</w:t>
      </w:r>
    </w:p>
    <w:p>
      <w:pPr>
        <w:tabs>
          <w:tab w:val="right" w:pos="426"/>
        </w:tabs>
        <w:ind w:leftChars="157" w:left="283" w:firstLineChars="89" w:firstLine="142"/>
        <w:rPr>
          <w:rFonts w:hAnsi="ＭＳ 明朝"/>
          <w:sz w:val="16"/>
          <w:szCs w:val="16"/>
        </w:rPr>
      </w:pPr>
      <w:r>
        <w:rPr>
          <w:rFonts w:hAnsi="ＭＳ 明朝" w:hint="eastAsia"/>
          <w:sz w:val="16"/>
          <w:szCs w:val="16"/>
        </w:rPr>
        <w:t>エンド売買金額は、当事者間に別段の合意がある場合を除き、次の算式により算出した金額によるものとする。また、エンド売買金額の端数処理は、当事者間に別段の合意がある場合を除き、円未満を切り捨てとする。</w:t>
      </w:r>
    </w:p>
    <w:p>
      <w:pPr>
        <w:tabs>
          <w:tab w:val="right" w:pos="426"/>
        </w:tabs>
        <w:ind w:left="284"/>
        <w:rPr>
          <w:rFonts w:hAnsi="ＭＳ 明朝"/>
          <w:sz w:val="16"/>
          <w:szCs w:val="16"/>
        </w:rPr>
      </w:pPr>
      <w:r>
        <w:rPr>
          <w:rFonts w:hAnsi="ＭＳ 明朝" w:hint="eastAsia"/>
          <w:sz w:val="16"/>
          <w:szCs w:val="16"/>
        </w:rPr>
        <w:lastRenderedPageBreak/>
        <w:t>エンド売買金額＝スタート売買金額＋（現先レート×スタート売買金額×約定期間÷365）</w:t>
      </w:r>
    </w:p>
    <w:p>
      <w:pPr>
        <w:tabs>
          <w:tab w:val="right" w:pos="426"/>
        </w:tabs>
        <w:ind w:left="284"/>
        <w:rPr>
          <w:rFonts w:hAnsi="ＭＳ 明朝"/>
          <w:sz w:val="16"/>
          <w:szCs w:val="16"/>
        </w:rPr>
      </w:pPr>
      <w:r>
        <w:rPr>
          <w:rFonts w:hAnsi="ＭＳ 明朝" w:hint="eastAsia"/>
          <w:sz w:val="16"/>
          <w:szCs w:val="16"/>
        </w:rPr>
        <w:t>ただし、「÷365」は、両当事者間の合意により、「÷360」とすることができる。</w:t>
      </w:r>
    </w:p>
    <w:p>
      <w:pPr>
        <w:rPr>
          <w:rFonts w:hAnsi="ＭＳ 明朝"/>
          <w:sz w:val="16"/>
          <w:szCs w:val="16"/>
        </w:rPr>
      </w:pPr>
      <w:r>
        <w:rPr>
          <w:rFonts w:hAnsi="ＭＳ 明朝" w:hint="eastAsia"/>
          <w:sz w:val="16"/>
          <w:szCs w:val="16"/>
        </w:rPr>
        <w:t>第 ４ 条（契約通貨）</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銘柄後決め現先取引の契約通貨は日本円とする。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本文第９条第２項から第４項の規定にかかわらず、銘柄後決め現先取引に基づく支払はすべて契約通貨によるものとする。</w:t>
      </w:r>
    </w:p>
    <w:p>
      <w:pPr>
        <w:rPr>
          <w:rFonts w:hAnsi="ＭＳ 明朝"/>
          <w:sz w:val="16"/>
          <w:szCs w:val="16"/>
        </w:rPr>
      </w:pPr>
      <w:r>
        <w:rPr>
          <w:rFonts w:hAnsi="ＭＳ 明朝" w:hint="eastAsia"/>
          <w:sz w:val="16"/>
          <w:szCs w:val="16"/>
        </w:rPr>
        <w:t>第 ５ 条（銘柄後決め現先取引の清算）</w:t>
      </w:r>
      <w:r>
        <w:rPr>
          <w:rStyle w:val="a7"/>
          <w:rFonts w:hAnsi="ＭＳ 明朝"/>
          <w:sz w:val="16"/>
          <w:szCs w:val="16"/>
        </w:rPr>
        <w:endnoteReference w:id="26"/>
      </w:r>
    </w:p>
    <w:p>
      <w:pPr>
        <w:ind w:left="283" w:hangingChars="177" w:hanging="283"/>
        <w:rPr>
          <w:rFonts w:hAnsi="ＭＳ 明朝"/>
          <w:sz w:val="16"/>
          <w:szCs w:val="16"/>
        </w:rPr>
      </w:pPr>
      <w:r>
        <w:rPr>
          <w:rFonts w:hAnsi="ＭＳ 明朝" w:hint="eastAsia"/>
          <w:sz w:val="16"/>
          <w:szCs w:val="16"/>
        </w:rPr>
        <w:t>１</w:t>
      </w:r>
      <w:r>
        <w:rPr>
          <w:rFonts w:hAnsi="ＭＳ 明朝" w:hint="eastAsia"/>
          <w:sz w:val="16"/>
          <w:szCs w:val="16"/>
        </w:rPr>
        <w:tab/>
        <w:t>両当事者は、銘柄後決め現先取引の成立後速やかに、両当事者が利用すると合意した金融商品取引法第２条第29項に定める金融商品取引清算機関その他の中央清算機関（以下「清算機関」という。）における当該銘柄後決め現先取引の清算（清算機関が当該銘柄後決め現先取引に係る債務を負担することをいう。以下同じ。）を実行するために必要な手続を行うものとする。</w:t>
      </w:r>
    </w:p>
    <w:p>
      <w:pPr>
        <w:ind w:left="283" w:hangingChars="177" w:hanging="283"/>
        <w:rPr>
          <w:rFonts w:hAnsi="ＭＳ 明朝"/>
          <w:sz w:val="16"/>
          <w:szCs w:val="16"/>
        </w:rPr>
      </w:pPr>
      <w:r>
        <w:rPr>
          <w:rFonts w:hAnsi="ＭＳ 明朝" w:hint="eastAsia"/>
          <w:sz w:val="16"/>
          <w:szCs w:val="16"/>
        </w:rPr>
        <w:t>２</w:t>
      </w:r>
      <w:r>
        <w:rPr>
          <w:rFonts w:hAnsi="ＭＳ 明朝" w:hint="eastAsia"/>
          <w:sz w:val="16"/>
          <w:szCs w:val="16"/>
        </w:rPr>
        <w:tab/>
        <w:t>次の各号に掲げる事由（以下「清算障害事由」という。）のいずれかが発生した場合、両当事者は速やかに当該事由の解消に向けて協議を行い、必要な措置をとるものとする。また、この場合、両当事者は当該銘柄後決め現先取引を別紙１に定める個別現先取引に該当するように合意することができる。</w:t>
      </w:r>
      <w:r>
        <w:rPr>
          <w:rStyle w:val="a7"/>
          <w:rFonts w:hAnsi="ＭＳ 明朝"/>
          <w:sz w:val="16"/>
          <w:szCs w:val="16"/>
        </w:rPr>
        <w:endnoteReference w:id="27"/>
      </w:r>
    </w:p>
    <w:p>
      <w:pPr>
        <w:tabs>
          <w:tab w:val="right" w:pos="567"/>
        </w:tabs>
        <w:ind w:left="426" w:hanging="267"/>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清算機関において、当該銘柄後決め現先取引が成立した日の翌営業日又は当該銘柄後決め現先取引において定める時限（以下「清算期限」という。）までに清算を完了させるために必要な措置がとられなかったとき。</w:t>
      </w:r>
    </w:p>
    <w:p>
      <w:pPr>
        <w:tabs>
          <w:tab w:val="right" w:pos="567"/>
        </w:tabs>
        <w:ind w:left="426" w:hanging="267"/>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当事者の清算参加者又はこれに相当する者が清算機関における当該銘柄後決め現先取引の清算のために必要な承諾等（必要な場合に限る。）その他の措置をとらなかったとき。</w:t>
      </w:r>
    </w:p>
    <w:p>
      <w:pPr>
        <w:tabs>
          <w:tab w:val="right" w:pos="567"/>
        </w:tabs>
        <w:ind w:left="426" w:hanging="267"/>
        <w:rPr>
          <w:rFonts w:hAnsi="ＭＳ 明朝"/>
          <w:sz w:val="16"/>
          <w:szCs w:val="16"/>
        </w:rPr>
      </w:pPr>
      <w:r>
        <w:rPr>
          <w:rFonts w:hAnsi="ＭＳ 明朝" w:hint="eastAsia"/>
          <w:sz w:val="16"/>
          <w:szCs w:val="16"/>
        </w:rPr>
        <w:t>⑶</w:t>
      </w:r>
      <w:r>
        <w:rPr>
          <w:rFonts w:hAnsi="ＭＳ 明朝"/>
          <w:sz w:val="16"/>
          <w:szCs w:val="16"/>
        </w:rPr>
        <w:tab/>
      </w:r>
      <w:r>
        <w:rPr>
          <w:rFonts w:hAnsi="ＭＳ 明朝" w:hint="eastAsia"/>
          <w:sz w:val="16"/>
          <w:szCs w:val="16"/>
        </w:rPr>
        <w:t>清算機関において当該銘柄後決め現先取引の清算が拒絶されたとき。</w:t>
      </w:r>
    </w:p>
    <w:p>
      <w:pPr>
        <w:tabs>
          <w:tab w:val="right" w:pos="567"/>
        </w:tabs>
        <w:ind w:left="426" w:hanging="267"/>
        <w:rPr>
          <w:rFonts w:hAnsi="ＭＳ 明朝"/>
          <w:sz w:val="16"/>
          <w:szCs w:val="16"/>
        </w:rPr>
      </w:pPr>
      <w:r>
        <w:rPr>
          <w:rFonts w:hAnsi="ＭＳ 明朝" w:hint="eastAsia"/>
          <w:sz w:val="16"/>
          <w:szCs w:val="16"/>
        </w:rPr>
        <w:t>⑷</w:t>
      </w:r>
      <w:r>
        <w:rPr>
          <w:rFonts w:hAnsi="ＭＳ 明朝"/>
          <w:sz w:val="16"/>
          <w:szCs w:val="16"/>
        </w:rPr>
        <w:tab/>
      </w:r>
      <w:r>
        <w:rPr>
          <w:rFonts w:hAnsi="ＭＳ 明朝" w:hint="eastAsia"/>
          <w:sz w:val="16"/>
          <w:szCs w:val="16"/>
        </w:rPr>
        <w:t>前三号のほか、清算機関において清算期限までに当該銘柄後決め現先取引の清算が完了しなかったとき。</w:t>
      </w:r>
    </w:p>
    <w:p>
      <w:pPr>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清算障害事由が発生しかつ継続している場合において、各当事者は、①当該銘柄後決め現先取引の目的（他方当事者に対して示されたことを要しない。②において同じ。）を達成することができなくなった、②当該銘柄後決め現先取引の清算が完了すると見込まれる時点を踏まえると、当該銘柄後決め現先取引の目的を達成することができなくなる、③前項に定める必要な措置をとることが困難である又は④当該措置によっても当該銘柄後決め現先取引の清算が完了しない可能性がある、と合理的に判断したときは、他方当事者に対する通知により当該銘柄後決め現先取引を終了させることができる。</w:t>
      </w:r>
    </w:p>
    <w:p>
      <w:pPr>
        <w:ind w:left="283" w:hangingChars="177" w:hanging="283"/>
        <w:rPr>
          <w:rFonts w:hAnsi="ＭＳ 明朝"/>
          <w:b/>
          <w:sz w:val="16"/>
          <w:szCs w:val="16"/>
        </w:rPr>
      </w:pPr>
      <w:r>
        <w:rPr>
          <w:rFonts w:hAnsi="ＭＳ 明朝" w:hint="eastAsia"/>
          <w:sz w:val="16"/>
          <w:szCs w:val="16"/>
        </w:rPr>
        <w:t>４</w:t>
      </w:r>
      <w:r>
        <w:rPr>
          <w:rFonts w:hAnsi="ＭＳ 明朝" w:hint="eastAsia"/>
          <w:sz w:val="16"/>
          <w:szCs w:val="16"/>
        </w:rPr>
        <w:tab/>
        <w:t>前項の規定により当該銘柄後決め現先取引が終了した場合、</w:t>
      </w:r>
      <w:r>
        <w:rPr>
          <w:rFonts w:hint="eastAsia"/>
          <w:sz w:val="16"/>
        </w:rPr>
        <w:t>本文第11条第４項の規定を準用する。</w:t>
      </w:r>
    </w:p>
    <w:p>
      <w:pPr>
        <w:rPr>
          <w:rFonts w:hAnsi="ＭＳ 明朝"/>
          <w:sz w:val="16"/>
          <w:szCs w:val="16"/>
        </w:rPr>
      </w:pPr>
      <w:r>
        <w:rPr>
          <w:rFonts w:hAnsi="ＭＳ 明朝" w:hint="eastAsia"/>
          <w:sz w:val="16"/>
          <w:szCs w:val="16"/>
        </w:rPr>
        <w:t>第 ６ 条（その他合意事項）</w:t>
      </w:r>
    </w:p>
    <w:p>
      <w:pPr>
        <w:tabs>
          <w:tab w:val="right" w:pos="426"/>
        </w:tabs>
        <w:ind w:left="284"/>
        <w:rPr>
          <w:rFonts w:hAnsi="ＭＳ 明朝"/>
          <w:sz w:val="16"/>
          <w:szCs w:val="16"/>
        </w:rPr>
      </w:pPr>
      <w:r>
        <w:rPr>
          <w:rFonts w:hAnsi="ＭＳ 明朝" w:hint="eastAsia"/>
          <w:sz w:val="16"/>
          <w:szCs w:val="16"/>
        </w:rPr>
        <w:tab/>
        <w:t>本文の規定のうち、第２条第43号（売買金額算出比率）、第７条（担保の管理等）、第10条（取引対象債券等の差替え）、第12条（フェイル発生時の処理）及び第14条（取引期間中途の取引終了）の規定（これらの規定に関連する定義及び規定を含む。）は適用しない。</w:t>
      </w:r>
      <w:r>
        <w:rPr>
          <w:rStyle w:val="a7"/>
          <w:rFonts w:hAnsi="ＭＳ 明朝"/>
          <w:sz w:val="16"/>
          <w:szCs w:val="16"/>
        </w:rPr>
        <w:endnoteReference w:id="28"/>
      </w:r>
    </w:p>
    <w:p>
      <w:pPr>
        <w:pStyle w:val="J3"/>
        <w:rPr>
          <w:color w:val="auto"/>
        </w:rPr>
      </w:pPr>
    </w:p>
    <w:p>
      <w:pPr>
        <w:pStyle w:val="J3"/>
        <w:jc w:val="center"/>
        <w:rPr>
          <w:color w:val="auto"/>
          <w:sz w:val="20"/>
        </w:rPr>
      </w:pPr>
      <w:r>
        <w:rPr>
          <w:color w:val="auto"/>
          <w:sz w:val="20"/>
        </w:rPr>
        <w:br w:type="page"/>
      </w:r>
      <w:r>
        <w:rPr>
          <w:rFonts w:hint="eastAsia"/>
          <w:color w:val="auto"/>
          <w:sz w:val="20"/>
        </w:rPr>
        <w:lastRenderedPageBreak/>
        <w:t>別紙３</w:t>
      </w:r>
    </w:p>
    <w:p>
      <w:pPr>
        <w:pStyle w:val="J3"/>
        <w:jc w:val="center"/>
        <w:rPr>
          <w:color w:val="auto"/>
          <w:sz w:val="20"/>
        </w:rPr>
      </w:pPr>
      <w:r>
        <w:rPr>
          <w:rFonts w:hint="eastAsia"/>
          <w:color w:val="auto"/>
          <w:sz w:val="20"/>
        </w:rPr>
        <w:t>定時償還銘柄に係る現先取引に関する合意事項</w:t>
      </w:r>
    </w:p>
    <w:p>
      <w:pPr>
        <w:pStyle w:val="J3"/>
        <w:rPr>
          <w:color w:val="auto"/>
        </w:rPr>
      </w:pPr>
    </w:p>
    <w:p>
      <w:pPr>
        <w:pStyle w:val="J3"/>
        <w:ind w:left="0" w:firstLine="0"/>
        <w:rPr>
          <w:rFonts w:hAnsi="ＭＳ 明朝"/>
          <w:color w:val="auto"/>
        </w:rPr>
      </w:pPr>
      <w:r>
        <w:rPr>
          <w:rFonts w:hAnsi="ＭＳ 明朝" w:hint="eastAsia"/>
          <w:color w:val="auto"/>
        </w:rPr>
        <w:t>第 １ 条（適用）</w:t>
      </w:r>
    </w:p>
    <w:p>
      <w:pPr>
        <w:tabs>
          <w:tab w:val="right" w:pos="426"/>
        </w:tabs>
        <w:ind w:left="284" w:hanging="284"/>
        <w:rPr>
          <w:sz w:val="16"/>
        </w:rPr>
      </w:pPr>
      <w:r>
        <w:rPr>
          <w:rFonts w:hAnsi="ＭＳ 明朝" w:hint="eastAsia"/>
          <w:sz w:val="16"/>
          <w:szCs w:val="16"/>
        </w:rPr>
        <w:t>１</w:t>
      </w:r>
      <w:r>
        <w:rPr>
          <w:rFonts w:hAnsi="ＭＳ 明朝" w:hint="eastAsia"/>
          <w:sz w:val="16"/>
          <w:szCs w:val="16"/>
        </w:rPr>
        <w:tab/>
      </w:r>
      <w:r>
        <w:rPr>
          <w:rFonts w:hint="eastAsia"/>
          <w:sz w:val="16"/>
        </w:rPr>
        <w:t>甲と乙との間で行われる個別現先取引のうち、定時償還銘柄を取引対象債券等又は担保証券とするものについては、本別紙３が適用されるものとする。</w:t>
      </w:r>
    </w:p>
    <w:p>
      <w:pPr>
        <w:tabs>
          <w:tab w:val="right" w:pos="426"/>
        </w:tabs>
        <w:ind w:left="284" w:hanging="284"/>
        <w:rPr>
          <w:rFonts w:hAnsi="ＭＳ 明朝"/>
          <w:sz w:val="16"/>
          <w:szCs w:val="16"/>
        </w:rPr>
      </w:pPr>
      <w:r>
        <w:rPr>
          <w:rFonts w:hint="eastAsia"/>
          <w:sz w:val="16"/>
        </w:rPr>
        <w:t>２</w:t>
      </w:r>
      <w:r>
        <w:rPr>
          <w:rFonts w:hint="eastAsia"/>
          <w:sz w:val="16"/>
        </w:rPr>
        <w:tab/>
        <w:t>本別紙３の適用を受ける個別現先取引について、次の各号に掲げる用語の定義は、本文第２条の規定にかかわらず当該各号に定めるところによる。</w:t>
      </w:r>
    </w:p>
    <w:p>
      <w:pPr>
        <w:pStyle w:val="J6"/>
        <w:tabs>
          <w:tab w:val="clear" w:pos="320"/>
          <w:tab w:val="left" w:pos="2268"/>
        </w:tabs>
        <w:ind w:left="2268" w:hanging="2108"/>
      </w:pPr>
      <w:r>
        <w:rPr>
          <w:rFonts w:hint="eastAsia"/>
        </w:rPr>
        <w:t>⑴</w:t>
      </w:r>
      <w:r>
        <w:rPr>
          <w:rFonts w:hint="eastAsia"/>
        </w:rPr>
        <w:tab/>
      </w:r>
      <w:r>
        <w:rPr>
          <w:rFonts w:hint="eastAsia"/>
          <w:spacing w:val="100"/>
          <w:kern w:val="0"/>
          <w:fitText w:val="1600" w:id="1005765376"/>
        </w:rPr>
        <w:t>償還前期</w:t>
      </w:r>
      <w:r>
        <w:rPr>
          <w:rFonts w:hint="eastAsia"/>
          <w:kern w:val="0"/>
          <w:fitText w:val="1600" w:id="1005765376"/>
        </w:rPr>
        <w:t>間</w:t>
      </w:r>
      <w:r>
        <w:rPr>
          <w:rFonts w:hint="eastAsia"/>
        </w:rPr>
        <w:t xml:space="preserve">　スタート取引受渡日（当日を含む。）からファクター変更日（当日を含まない。）までの間の日数をいう。</w:t>
      </w:r>
    </w:p>
    <w:p>
      <w:pPr>
        <w:pStyle w:val="J6"/>
        <w:ind w:left="2240" w:hanging="2081"/>
      </w:pPr>
      <w:r>
        <w:rPr>
          <w:rFonts w:hint="eastAsia"/>
        </w:rPr>
        <w:t>⑵</w:t>
      </w:r>
      <w:r>
        <w:rPr>
          <w:rFonts w:hint="eastAsia"/>
        </w:rPr>
        <w:tab/>
      </w:r>
      <w:r>
        <w:rPr>
          <w:rFonts w:hint="eastAsia"/>
        </w:rPr>
        <w:tab/>
      </w:r>
      <w:r>
        <w:rPr>
          <w:rFonts w:hint="eastAsia"/>
          <w:spacing w:val="64"/>
          <w:kern w:val="0"/>
          <w:fitText w:val="1600" w:id="1005765377"/>
        </w:rPr>
        <w:t>定時償還銘</w:t>
      </w:r>
      <w:r>
        <w:rPr>
          <w:rFonts w:hint="eastAsia"/>
          <w:kern w:val="0"/>
          <w:fitText w:val="1600" w:id="1005765377"/>
        </w:rPr>
        <w:t>柄</w:t>
      </w:r>
      <w:r>
        <w:rPr>
          <w:rFonts w:hint="eastAsia"/>
        </w:rPr>
        <w:t xml:space="preserve">　債券等の各収益金支払日において、当該債券等と同一銘柄のすべての当該債券等の金額に対して均一の割合のみを償還し、その未償還割合が小数点以下10位未満の端数が生じないファクターで表現できる償還方法（以下「定時償還」という。）により償還される債券等の銘柄をいう。</w:t>
      </w:r>
    </w:p>
    <w:p>
      <w:pPr>
        <w:pStyle w:val="J6"/>
        <w:ind w:left="2240" w:hanging="2081"/>
      </w:pPr>
      <w:r>
        <w:rPr>
          <w:rFonts w:hint="eastAsia"/>
        </w:rPr>
        <w:t>⑶</w:t>
      </w:r>
      <w:r>
        <w:rPr>
          <w:rFonts w:hint="eastAsia"/>
        </w:rPr>
        <w:tab/>
      </w:r>
      <w:r>
        <w:rPr>
          <w:rFonts w:hint="eastAsia"/>
        </w:rPr>
        <w:tab/>
      </w:r>
      <w:r>
        <w:rPr>
          <w:rFonts w:hint="eastAsia"/>
          <w:spacing w:val="10"/>
          <w:kern w:val="0"/>
          <w:fitText w:val="1600" w:id="1005765378"/>
        </w:rPr>
        <w:t>同種、同量の債券</w:t>
      </w:r>
      <w:r>
        <w:rPr>
          <w:rFonts w:hint="eastAsia"/>
          <w:kern w:val="0"/>
          <w:fitText w:val="1600" w:id="1005765378"/>
        </w:rPr>
        <w:t>等</w:t>
      </w:r>
      <w:r>
        <w:rPr>
          <w:rFonts w:hint="eastAsia"/>
        </w:rPr>
        <w:t xml:space="preserve">　個別現先取引における取引対象債券等と同種、同量の債券等をいう。ただし、取引対象債券等が定時償還銘柄である場合には、任意の時点における取引対象債券等のファクターと同じファクターを有する同種の債券等で、同量のものをいう。</w:t>
      </w:r>
    </w:p>
    <w:p>
      <w:pPr>
        <w:pStyle w:val="J6"/>
        <w:ind w:left="2240" w:hanging="2081"/>
      </w:pPr>
      <w:r>
        <w:rPr>
          <w:rFonts w:hint="eastAsia"/>
        </w:rPr>
        <w:t>⑷</w:t>
      </w:r>
      <w:r>
        <w:rPr>
          <w:rFonts w:hint="eastAsia"/>
        </w:rPr>
        <w:tab/>
      </w:r>
      <w:r>
        <w:rPr>
          <w:rFonts w:hint="eastAsia"/>
        </w:rPr>
        <w:tab/>
      </w:r>
      <w:r>
        <w:rPr>
          <w:rFonts w:hint="eastAsia"/>
          <w:kern w:val="0"/>
          <w:fitText w:val="1600" w:id="1005765379"/>
        </w:rPr>
        <w:t>同種、同量の担保証券</w:t>
      </w:r>
      <w:r>
        <w:rPr>
          <w:rFonts w:hint="eastAsia"/>
        </w:rPr>
        <w:t xml:space="preserve">　担保証券として移転された</w:t>
      </w:r>
      <w:r>
        <w:rPr>
          <w:rFonts w:hAnsi="ＭＳ 明朝" w:hint="eastAsia"/>
        </w:rPr>
        <w:t>有価</w:t>
      </w:r>
      <w:r>
        <w:rPr>
          <w:rFonts w:hint="eastAsia"/>
        </w:rPr>
        <w:t>証券と同種、同量の</w:t>
      </w:r>
      <w:r>
        <w:rPr>
          <w:rFonts w:hAnsi="ＭＳ 明朝" w:hint="eastAsia"/>
        </w:rPr>
        <w:t>有価</w:t>
      </w:r>
      <w:r>
        <w:rPr>
          <w:rFonts w:hint="eastAsia"/>
        </w:rPr>
        <w:t>証券をいう。ただし、担保証券が定時償還銘柄である場合には、任意の時点における担保証券のファクターと同じファクターを有する同種の</w:t>
      </w:r>
      <w:r>
        <w:rPr>
          <w:rFonts w:hAnsi="ＭＳ 明朝" w:hint="eastAsia"/>
        </w:rPr>
        <w:t>有価</w:t>
      </w:r>
      <w:r>
        <w:rPr>
          <w:rFonts w:hint="eastAsia"/>
        </w:rPr>
        <w:t>証券で、同量のものをいう。</w:t>
      </w:r>
    </w:p>
    <w:p>
      <w:pPr>
        <w:pStyle w:val="J6"/>
        <w:ind w:left="2240" w:hanging="2081"/>
      </w:pPr>
      <w:r>
        <w:rPr>
          <w:rFonts w:hAnsi="ＭＳ 明朝" w:hint="eastAsia"/>
        </w:rPr>
        <w:t>⑸</w:t>
      </w:r>
      <w:r>
        <w:rPr>
          <w:rFonts w:hint="eastAsia"/>
        </w:rPr>
        <w:tab/>
      </w:r>
      <w:r>
        <w:rPr>
          <w:rFonts w:hint="eastAsia"/>
        </w:rPr>
        <w:tab/>
      </w:r>
      <w:r>
        <w:rPr>
          <w:rFonts w:hint="eastAsia"/>
          <w:spacing w:val="160"/>
          <w:kern w:val="0"/>
          <w:fitText w:val="1600" w:id="1005765380"/>
        </w:rPr>
        <w:t>取引数</w:t>
      </w:r>
      <w:r>
        <w:rPr>
          <w:rFonts w:hint="eastAsia"/>
          <w:kern w:val="0"/>
          <w:fitText w:val="1600" w:id="1005765380"/>
        </w:rPr>
        <w:t>量</w:t>
      </w:r>
      <w:r>
        <w:rPr>
          <w:rFonts w:hint="eastAsia"/>
        </w:rPr>
        <w:t xml:space="preserve">　取引対象債券等の額面総額として、個別取引明細書で定めるものをいう。ただし、取引対象債券等が定時償還銘柄である場合には、当該銘柄のファクターが１であったときの額面総額として個別取引明細書で定めるもの、あるいは個別取引明細書で定める実質金額を、当該実質金額を計算するために適用されたファクターで除することによって算出される額面総額をいう。</w:t>
      </w:r>
    </w:p>
    <w:p>
      <w:pPr>
        <w:pStyle w:val="J6"/>
        <w:ind w:left="2240" w:hanging="2081"/>
      </w:pPr>
      <w:r>
        <w:rPr>
          <w:rFonts w:hAnsi="ＭＳ 明朝" w:hint="eastAsia"/>
        </w:rPr>
        <w:t>⑹</w:t>
      </w:r>
      <w:r>
        <w:rPr>
          <w:rFonts w:hAnsi="ＭＳ 明朝" w:hint="eastAsia"/>
        </w:rPr>
        <w:tab/>
      </w:r>
      <w:r>
        <w:rPr>
          <w:rFonts w:hint="eastAsia"/>
        </w:rPr>
        <w:tab/>
      </w:r>
      <w:r>
        <w:rPr>
          <w:rFonts w:hint="eastAsia"/>
          <w:spacing w:val="100"/>
          <w:kern w:val="0"/>
          <w:fitText w:val="1600" w:id="1005765381"/>
        </w:rPr>
        <w:t>ファクタ</w:t>
      </w:r>
      <w:r>
        <w:rPr>
          <w:rFonts w:hint="eastAsia"/>
          <w:kern w:val="0"/>
          <w:fitText w:val="1600" w:id="1005765381"/>
        </w:rPr>
        <w:t>ー</w:t>
      </w:r>
      <w:r>
        <w:rPr>
          <w:rFonts w:hint="eastAsia"/>
        </w:rPr>
        <w:t xml:space="preserve">　一般債の銘柄に係る情報として株式会社証券保管振替機構（以下「機構」という。）の「社債等に関する業務規程」において定められた算式により算定され、機構の銘柄情報に登録された値をいう。</w:t>
      </w:r>
    </w:p>
    <w:p>
      <w:pPr>
        <w:pStyle w:val="J6"/>
        <w:ind w:left="2240" w:hanging="2081"/>
      </w:pPr>
      <w:r>
        <w:rPr>
          <w:rFonts w:hAnsi="ＭＳ 明朝" w:hint="eastAsia"/>
        </w:rPr>
        <w:t>⑺</w:t>
      </w:r>
      <w:r>
        <w:rPr>
          <w:rFonts w:hAnsi="ＭＳ 明朝" w:hint="eastAsia"/>
        </w:rPr>
        <w:tab/>
      </w:r>
      <w:r>
        <w:rPr>
          <w:rFonts w:hint="eastAsia"/>
        </w:rPr>
        <w:tab/>
      </w:r>
      <w:r>
        <w:rPr>
          <w:rFonts w:hint="eastAsia"/>
          <w:spacing w:val="23"/>
          <w:kern w:val="0"/>
          <w:fitText w:val="1600" w:id="1005765382"/>
        </w:rPr>
        <w:t>ファクター変更</w:t>
      </w:r>
      <w:r>
        <w:rPr>
          <w:rFonts w:hint="eastAsia"/>
          <w:kern w:val="0"/>
          <w:fitText w:val="1600" w:id="1005765382"/>
        </w:rPr>
        <w:t>日</w:t>
      </w:r>
      <w:r>
        <w:rPr>
          <w:rFonts w:hint="eastAsia"/>
        </w:rPr>
        <w:t xml:space="preserve">　定時償還銘柄について、機構がファクターを変更し、定時償還がなされる日（実支払日）をいう。</w:t>
      </w:r>
    </w:p>
    <w:p>
      <w:pPr>
        <w:rPr>
          <w:rFonts w:hAnsi="ＭＳ 明朝"/>
          <w:sz w:val="16"/>
          <w:szCs w:val="16"/>
        </w:rPr>
      </w:pPr>
      <w:r>
        <w:rPr>
          <w:rFonts w:hAnsi="ＭＳ 明朝" w:hint="eastAsia"/>
          <w:sz w:val="16"/>
          <w:szCs w:val="16"/>
        </w:rPr>
        <w:t>第 ２ 条（本文第２条に規定する定義に関する合意）</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本文第２条第７号に定義する経過利子の端数処理は、当事者間に別段の合意がある場合を除き、小数点以下第７位未満を切り捨てとする。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２条第17号に定義する時価は、当事者間に別段の合意がある場合を除き、日本証券業協会が発表する「売買参考統計値（平均値）」の「単利利回り」を用いて算出した価格（小数点以下第３位未満を切り捨て）を同号に定める「市場価格」として算出するものとする。</w:t>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本文第２条第27号に定義する対顧客電信買相場は、[●／当事者間での合意によるもの]</w:t>
      </w:r>
      <w:r>
        <w:rPr>
          <w:rStyle w:val="a7"/>
          <w:rFonts w:hAnsi="ＭＳ 明朝"/>
          <w:sz w:val="16"/>
          <w:szCs w:val="16"/>
        </w:rPr>
        <w:endnoteReference w:id="29"/>
      </w:r>
      <w:r>
        <w:rPr>
          <w:rFonts w:hAnsi="ＭＳ 明朝" w:hint="eastAsia"/>
          <w:sz w:val="16"/>
          <w:szCs w:val="16"/>
        </w:rPr>
        <w:t>とする。</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本文第２条第29号に定義する担保掛目は、当事者間に別段の合意がある場合を除き、100％とする。</w:t>
      </w:r>
    </w:p>
    <w:p>
      <w:pPr>
        <w:tabs>
          <w:tab w:val="right" w:pos="426"/>
        </w:tabs>
        <w:ind w:left="284" w:hanging="284"/>
        <w:rPr>
          <w:rFonts w:hAnsi="ＭＳ 明朝"/>
          <w:sz w:val="16"/>
          <w:szCs w:val="16"/>
        </w:rPr>
      </w:pPr>
      <w:r>
        <w:rPr>
          <w:rFonts w:hAnsi="ＭＳ 明朝" w:hint="eastAsia"/>
          <w:sz w:val="16"/>
          <w:szCs w:val="16"/>
        </w:rPr>
        <w:t>５</w:t>
      </w:r>
      <w:r>
        <w:rPr>
          <w:rFonts w:hAnsi="ＭＳ 明朝" w:hint="eastAsia"/>
          <w:sz w:val="16"/>
          <w:szCs w:val="16"/>
        </w:rPr>
        <w:tab/>
        <w:t>本文第２条第33号に定義する担保証券は、[国債（国庫短期証券を含む。）[、●、]及び担保の差入れにあたって両当事者が合意するその他の有価証券]</w:t>
      </w:r>
      <w:r>
        <w:rPr>
          <w:rStyle w:val="a7"/>
          <w:rFonts w:hAnsi="ＭＳ 明朝"/>
          <w:sz w:val="16"/>
          <w:szCs w:val="16"/>
        </w:rPr>
        <w:endnoteReference w:id="30"/>
      </w:r>
      <w:r>
        <w:rPr>
          <w:rFonts w:hAnsi="ＭＳ 明朝" w:hint="eastAsia"/>
          <w:sz w:val="16"/>
          <w:szCs w:val="16"/>
        </w:rPr>
        <w:t>とする。</w:t>
      </w:r>
    </w:p>
    <w:p>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t>本文第２条第43号に定義する売買金額算出比率は、</w:t>
      </w:r>
      <w:r>
        <w:rPr>
          <w:rFonts w:hint="eastAsia"/>
          <w:sz w:val="16"/>
        </w:rPr>
        <w:t>[●]</w:t>
      </w:r>
      <w:r>
        <w:rPr>
          <w:rStyle w:val="a7"/>
          <w:sz w:val="16"/>
        </w:rPr>
        <w:endnoteReference w:id="31"/>
      </w:r>
      <w:r>
        <w:rPr>
          <w:rFonts w:hint="eastAsia"/>
          <w:sz w:val="16"/>
        </w:rPr>
        <w:t>とする。</w:t>
      </w:r>
    </w:p>
    <w:p>
      <w:pPr>
        <w:rPr>
          <w:rFonts w:hAnsi="ＭＳ 明朝"/>
          <w:sz w:val="16"/>
          <w:szCs w:val="16"/>
        </w:rPr>
      </w:pPr>
      <w:r>
        <w:rPr>
          <w:rFonts w:hAnsi="ＭＳ 明朝" w:hint="eastAsia"/>
          <w:sz w:val="16"/>
          <w:szCs w:val="16"/>
        </w:rPr>
        <w:t>第 ３ 条（個別取引明細書の交付又は個別現先取引内容の確認）</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本文第３条第２項の規定に基づく個別取引明細書又は契約内容の確認は、本条に定めるところに従って行う。</w:t>
      </w:r>
    </w:p>
    <w:p>
      <w:pPr>
        <w:tabs>
          <w:tab w:val="right" w:pos="426"/>
        </w:tabs>
        <w:ind w:left="284" w:hanging="284"/>
        <w:rPr>
          <w:rFonts w:hAnsi="ＭＳ 明朝"/>
          <w:sz w:val="16"/>
          <w:szCs w:val="16"/>
        </w:rPr>
      </w:pPr>
      <w:r>
        <w:rPr>
          <w:rFonts w:hAnsi="ＭＳ 明朝" w:hint="eastAsia"/>
          <w:sz w:val="16"/>
          <w:szCs w:val="16"/>
        </w:rPr>
        <w:lastRenderedPageBreak/>
        <w:t>２</w:t>
      </w:r>
      <w:r>
        <w:rPr>
          <w:rFonts w:hAnsi="ＭＳ 明朝" w:hint="eastAsia"/>
          <w:sz w:val="16"/>
          <w:szCs w:val="16"/>
        </w:rPr>
        <w:tab/>
        <w:t>[[●]</w:t>
      </w:r>
      <w:r>
        <w:rPr>
          <w:rStyle w:val="a7"/>
          <w:rFonts w:hAnsi="ＭＳ 明朝"/>
          <w:sz w:val="16"/>
          <w:szCs w:val="16"/>
        </w:rPr>
        <w:endnoteReference w:id="32"/>
      </w:r>
      <w:r>
        <w:rPr>
          <w:rFonts w:hAnsi="ＭＳ 明朝" w:hint="eastAsia"/>
          <w:sz w:val="16"/>
          <w:szCs w:val="16"/>
        </w:rPr>
        <w:t>（以下、本条において「交付者」という。）は、本文第３条第１項により個別現先取引が成立した場合、他方当事者（以下、本条において「被交付者」という。）に対し、[速やかに]</w:t>
      </w:r>
      <w:r>
        <w:rPr>
          <w:rStyle w:val="a7"/>
          <w:rFonts w:hAnsi="ＭＳ 明朝"/>
          <w:sz w:val="16"/>
          <w:szCs w:val="16"/>
        </w:rPr>
        <w:endnoteReference w:id="33"/>
      </w:r>
      <w:r>
        <w:rPr>
          <w:rFonts w:hAnsi="ＭＳ 明朝" w:hint="eastAsia"/>
          <w:sz w:val="16"/>
          <w:szCs w:val="16"/>
        </w:rPr>
        <w:t>、本基本契約書に準拠する旨及び次項に定める事項を記載した個別取引明細書を交付する。被交付者は、交付を受けた個別取引明細書を速やかに確認し、契約内容と相違がある場合には直ちに交付者に連絡するものとする。かかる連絡を行わなかった場合、被交付者は個別取引明細書の内容に同意したものとみなす。/両当事者は、本文第３条第１項により個別現先取引が成立した場合、[速やかに]</w:t>
      </w:r>
      <w:r>
        <w:rPr>
          <w:rStyle w:val="a7"/>
          <w:rFonts w:hAnsi="ＭＳ 明朝"/>
          <w:sz w:val="16"/>
          <w:szCs w:val="16"/>
        </w:rPr>
        <w:endnoteReference w:id="34"/>
      </w:r>
      <w:r>
        <w:rPr>
          <w:rFonts w:hAnsi="ＭＳ 明朝" w:hint="eastAsia"/>
          <w:sz w:val="16"/>
          <w:szCs w:val="16"/>
        </w:rPr>
        <w:t>、[●]</w:t>
      </w:r>
      <w:r>
        <w:rPr>
          <w:rStyle w:val="a7"/>
          <w:rFonts w:hAnsi="ＭＳ 明朝"/>
          <w:sz w:val="16"/>
          <w:szCs w:val="16"/>
        </w:rPr>
        <w:endnoteReference w:id="35"/>
      </w:r>
      <w:r>
        <w:rPr>
          <w:rFonts w:hAnsi="ＭＳ 明朝" w:hint="eastAsia"/>
          <w:sz w:val="16"/>
          <w:szCs w:val="16"/>
        </w:rPr>
        <w:t>によって、次項に定める事項を確認するものとする。]</w:t>
      </w:r>
      <w:r>
        <w:rPr>
          <w:rStyle w:val="a7"/>
          <w:rFonts w:hAnsi="ＭＳ 明朝"/>
          <w:sz w:val="16"/>
          <w:szCs w:val="16"/>
        </w:rPr>
        <w:endnoteReference w:id="36"/>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個別取引明細書に記載すべき事項又は確認すべき契約内容は、次の各号に掲げる事項をとする。</w:t>
      </w:r>
    </w:p>
    <w:p>
      <w:pPr>
        <w:tabs>
          <w:tab w:val="right" w:pos="567"/>
        </w:tabs>
        <w:ind w:left="426" w:hanging="267"/>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買手及び売手の名称</w:t>
      </w:r>
    </w:p>
    <w:p>
      <w:pPr>
        <w:tabs>
          <w:tab w:val="right" w:pos="567"/>
        </w:tabs>
        <w:ind w:left="426" w:hanging="267"/>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取引対象債券等</w:t>
      </w:r>
    </w:p>
    <w:p>
      <w:pPr>
        <w:tabs>
          <w:tab w:val="right" w:pos="567"/>
        </w:tabs>
        <w:ind w:left="426" w:hanging="267"/>
        <w:rPr>
          <w:rFonts w:hAnsi="ＭＳ 明朝"/>
          <w:sz w:val="16"/>
          <w:szCs w:val="16"/>
          <w:lang w:eastAsia="zh-CN"/>
        </w:rPr>
      </w:pPr>
      <w:r>
        <w:rPr>
          <w:rFonts w:hAnsi="ＭＳ 明朝" w:hint="eastAsia"/>
          <w:sz w:val="16"/>
          <w:szCs w:val="16"/>
          <w:lang w:eastAsia="zh-CN"/>
        </w:rPr>
        <w:t>⑶</w:t>
      </w:r>
      <w:r>
        <w:rPr>
          <w:rFonts w:hAnsi="ＭＳ 明朝"/>
          <w:sz w:val="16"/>
          <w:szCs w:val="16"/>
          <w:lang w:eastAsia="zh-CN"/>
        </w:rPr>
        <w:tab/>
      </w:r>
      <w:r>
        <w:rPr>
          <w:rFonts w:hAnsi="ＭＳ 明朝" w:hint="eastAsia"/>
          <w:sz w:val="16"/>
          <w:szCs w:val="16"/>
          <w:lang w:eastAsia="zh-CN"/>
        </w:rPr>
        <w:t>取引数量</w:t>
      </w:r>
    </w:p>
    <w:p>
      <w:pPr>
        <w:tabs>
          <w:tab w:val="right" w:pos="567"/>
        </w:tabs>
        <w:ind w:left="426" w:hanging="267"/>
        <w:rPr>
          <w:rFonts w:hAnsi="ＭＳ 明朝"/>
          <w:sz w:val="16"/>
          <w:szCs w:val="16"/>
          <w:lang w:eastAsia="zh-CN"/>
        </w:rPr>
      </w:pPr>
      <w:r>
        <w:rPr>
          <w:rFonts w:hAnsi="ＭＳ 明朝" w:hint="eastAsia"/>
          <w:sz w:val="16"/>
          <w:szCs w:val="16"/>
          <w:lang w:eastAsia="zh-CN"/>
        </w:rPr>
        <w:t>⑷</w:t>
      </w:r>
      <w:r>
        <w:rPr>
          <w:rFonts w:hAnsi="ＭＳ 明朝"/>
          <w:sz w:val="16"/>
          <w:szCs w:val="16"/>
          <w:lang w:eastAsia="zh-CN"/>
        </w:rPr>
        <w:tab/>
      </w:r>
      <w:r>
        <w:rPr>
          <w:rFonts w:hAnsi="ＭＳ 明朝" w:hint="eastAsia"/>
          <w:sz w:val="16"/>
          <w:szCs w:val="16"/>
          <w:lang w:eastAsia="zh-CN"/>
        </w:rPr>
        <w:t>売買金額算出比率</w:t>
      </w:r>
    </w:p>
    <w:p>
      <w:pPr>
        <w:tabs>
          <w:tab w:val="right" w:pos="567"/>
        </w:tabs>
        <w:ind w:left="426" w:hanging="267"/>
        <w:rPr>
          <w:rFonts w:hAnsi="ＭＳ 明朝"/>
          <w:sz w:val="16"/>
          <w:szCs w:val="16"/>
        </w:rPr>
      </w:pPr>
      <w:r>
        <w:rPr>
          <w:rFonts w:hAnsi="ＭＳ 明朝" w:hint="eastAsia"/>
          <w:sz w:val="16"/>
          <w:szCs w:val="16"/>
        </w:rPr>
        <w:t>⑸</w:t>
      </w:r>
      <w:r>
        <w:rPr>
          <w:rFonts w:hAnsi="ＭＳ 明朝"/>
          <w:sz w:val="16"/>
          <w:szCs w:val="16"/>
        </w:rPr>
        <w:tab/>
      </w:r>
      <w:r>
        <w:rPr>
          <w:rFonts w:hAnsi="ＭＳ 明朝" w:hint="eastAsia"/>
          <w:sz w:val="16"/>
          <w:szCs w:val="16"/>
        </w:rPr>
        <w:t>現先レート</w:t>
      </w:r>
    </w:p>
    <w:p>
      <w:pPr>
        <w:tabs>
          <w:tab w:val="right" w:pos="567"/>
        </w:tabs>
        <w:ind w:left="426" w:hanging="267"/>
        <w:rPr>
          <w:rFonts w:hAnsi="ＭＳ 明朝"/>
          <w:sz w:val="16"/>
          <w:szCs w:val="16"/>
        </w:rPr>
      </w:pPr>
      <w:r>
        <w:rPr>
          <w:rFonts w:hAnsi="ＭＳ 明朝" w:hint="eastAsia"/>
          <w:sz w:val="16"/>
          <w:szCs w:val="16"/>
        </w:rPr>
        <w:t>⑹</w:t>
      </w:r>
      <w:r>
        <w:rPr>
          <w:rFonts w:hAnsi="ＭＳ 明朝"/>
          <w:sz w:val="16"/>
          <w:szCs w:val="16"/>
        </w:rPr>
        <w:tab/>
      </w:r>
      <w:r>
        <w:rPr>
          <w:rFonts w:hAnsi="ＭＳ 明朝" w:hint="eastAsia"/>
          <w:sz w:val="16"/>
          <w:szCs w:val="16"/>
        </w:rPr>
        <w:t>取引約定日</w:t>
      </w:r>
    </w:p>
    <w:p>
      <w:pPr>
        <w:tabs>
          <w:tab w:val="right" w:pos="567"/>
        </w:tabs>
        <w:ind w:left="426" w:hanging="267"/>
        <w:rPr>
          <w:rFonts w:hAnsi="ＭＳ 明朝"/>
          <w:sz w:val="16"/>
          <w:szCs w:val="16"/>
        </w:rPr>
      </w:pPr>
      <w:r>
        <w:rPr>
          <w:rFonts w:hAnsi="ＭＳ 明朝" w:hint="eastAsia"/>
          <w:sz w:val="16"/>
          <w:szCs w:val="16"/>
        </w:rPr>
        <w:t>⑺</w:t>
      </w:r>
      <w:r>
        <w:rPr>
          <w:rFonts w:hAnsi="ＭＳ 明朝"/>
          <w:sz w:val="16"/>
          <w:szCs w:val="16"/>
        </w:rPr>
        <w:tab/>
      </w:r>
      <w:r>
        <w:rPr>
          <w:rFonts w:hAnsi="ＭＳ 明朝" w:hint="eastAsia"/>
          <w:sz w:val="16"/>
          <w:szCs w:val="16"/>
        </w:rPr>
        <w:t>スタート取引受渡日</w:t>
      </w:r>
    </w:p>
    <w:p>
      <w:pPr>
        <w:tabs>
          <w:tab w:val="right" w:pos="567"/>
        </w:tabs>
        <w:ind w:left="426" w:hanging="267"/>
        <w:rPr>
          <w:rFonts w:hAnsi="ＭＳ 明朝"/>
          <w:sz w:val="16"/>
          <w:szCs w:val="16"/>
        </w:rPr>
      </w:pPr>
      <w:r>
        <w:rPr>
          <w:rFonts w:hAnsi="ＭＳ 明朝" w:hint="eastAsia"/>
          <w:sz w:val="16"/>
          <w:szCs w:val="16"/>
        </w:rPr>
        <w:t>⑻</w:t>
      </w:r>
      <w:r>
        <w:rPr>
          <w:rFonts w:hAnsi="ＭＳ 明朝"/>
          <w:sz w:val="16"/>
          <w:szCs w:val="16"/>
        </w:rPr>
        <w:tab/>
      </w:r>
      <w:r>
        <w:rPr>
          <w:rFonts w:hAnsi="ＭＳ 明朝" w:hint="eastAsia"/>
          <w:sz w:val="16"/>
          <w:szCs w:val="16"/>
        </w:rPr>
        <w:t>スタート売買単価</w:t>
      </w:r>
    </w:p>
    <w:p>
      <w:pPr>
        <w:tabs>
          <w:tab w:val="right" w:pos="567"/>
        </w:tabs>
        <w:ind w:left="426" w:hanging="267"/>
        <w:rPr>
          <w:rFonts w:hAnsi="ＭＳ 明朝"/>
          <w:sz w:val="16"/>
          <w:szCs w:val="16"/>
        </w:rPr>
      </w:pPr>
      <w:r>
        <w:rPr>
          <w:rFonts w:hAnsi="ＭＳ 明朝" w:hint="eastAsia"/>
          <w:sz w:val="16"/>
          <w:szCs w:val="16"/>
        </w:rPr>
        <w:t>⑼</w:t>
      </w:r>
      <w:r>
        <w:rPr>
          <w:rFonts w:hAnsi="ＭＳ 明朝"/>
          <w:sz w:val="16"/>
          <w:szCs w:val="16"/>
        </w:rPr>
        <w:tab/>
      </w:r>
      <w:r>
        <w:rPr>
          <w:rFonts w:hAnsi="ＭＳ 明朝" w:hint="eastAsia"/>
          <w:sz w:val="16"/>
          <w:szCs w:val="16"/>
        </w:rPr>
        <w:t>スタート売買金額</w:t>
      </w:r>
    </w:p>
    <w:p>
      <w:pPr>
        <w:tabs>
          <w:tab w:val="right" w:pos="567"/>
        </w:tabs>
        <w:ind w:left="426" w:hanging="267"/>
        <w:rPr>
          <w:rFonts w:hAnsi="ＭＳ 明朝"/>
          <w:sz w:val="16"/>
          <w:szCs w:val="16"/>
        </w:rPr>
      </w:pPr>
      <w:r>
        <w:rPr>
          <w:rFonts w:hAnsi="ＭＳ 明朝" w:hint="eastAsia"/>
          <w:sz w:val="16"/>
          <w:szCs w:val="16"/>
        </w:rPr>
        <w:t>⑽</w:t>
      </w:r>
      <w:r>
        <w:rPr>
          <w:rFonts w:hAnsi="ＭＳ 明朝" w:hint="eastAsia"/>
          <w:sz w:val="16"/>
          <w:szCs w:val="16"/>
        </w:rPr>
        <w:tab/>
        <w:t>エンド売買単価</w:t>
      </w:r>
    </w:p>
    <w:p>
      <w:pPr>
        <w:tabs>
          <w:tab w:val="right" w:pos="567"/>
        </w:tabs>
        <w:ind w:left="426" w:hanging="267"/>
        <w:rPr>
          <w:rFonts w:hAnsi="ＭＳ 明朝"/>
          <w:sz w:val="16"/>
          <w:szCs w:val="16"/>
        </w:rPr>
      </w:pPr>
      <w:r>
        <w:rPr>
          <w:rFonts w:hAnsi="ＭＳ 明朝" w:hint="eastAsia"/>
          <w:sz w:val="16"/>
          <w:szCs w:val="16"/>
        </w:rPr>
        <w:t>⑾</w:t>
      </w:r>
      <w:r>
        <w:rPr>
          <w:rFonts w:hAnsi="ＭＳ 明朝" w:hint="eastAsia"/>
          <w:sz w:val="16"/>
          <w:szCs w:val="16"/>
        </w:rPr>
        <w:tab/>
        <w:t>エンド売買金額</w:t>
      </w:r>
    </w:p>
    <w:p>
      <w:pPr>
        <w:tabs>
          <w:tab w:val="right" w:pos="567"/>
        </w:tabs>
        <w:ind w:left="426" w:hanging="267"/>
        <w:rPr>
          <w:rFonts w:hAnsi="ＭＳ 明朝"/>
          <w:sz w:val="16"/>
          <w:szCs w:val="16"/>
        </w:rPr>
      </w:pPr>
      <w:r>
        <w:rPr>
          <w:rFonts w:hint="eastAsia"/>
        </w:rPr>
        <w:t>⑿</w:t>
      </w:r>
      <w:r>
        <w:rPr>
          <w:rFonts w:hAnsi="ＭＳ 明朝"/>
          <w:sz w:val="16"/>
          <w:szCs w:val="16"/>
        </w:rPr>
        <w:tab/>
      </w:r>
      <w:r>
        <w:rPr>
          <w:rFonts w:hAnsi="ＭＳ 明朝" w:hint="eastAsia"/>
          <w:sz w:val="16"/>
          <w:szCs w:val="16"/>
        </w:rPr>
        <w:t>エンド取引受渡日</w:t>
      </w:r>
    </w:p>
    <w:p>
      <w:pPr>
        <w:tabs>
          <w:tab w:val="right" w:pos="567"/>
        </w:tabs>
        <w:ind w:left="426" w:hanging="267"/>
        <w:rPr>
          <w:rFonts w:hAnsi="ＭＳ 明朝"/>
          <w:sz w:val="16"/>
          <w:szCs w:val="16"/>
        </w:rPr>
      </w:pPr>
      <w:r>
        <w:rPr>
          <w:rFonts w:hint="eastAsia"/>
        </w:rPr>
        <w:t>⒀</w:t>
      </w:r>
      <w:r>
        <w:rPr>
          <w:rFonts w:hint="eastAsia"/>
        </w:rPr>
        <w:tab/>
      </w:r>
      <w:r>
        <w:rPr>
          <w:rFonts w:hAnsi="ＭＳ 明朝"/>
          <w:sz w:val="16"/>
          <w:szCs w:val="16"/>
        </w:rPr>
        <w:tab/>
      </w:r>
      <w:r>
        <w:rPr>
          <w:rFonts w:hAnsi="ＭＳ 明朝" w:hint="eastAsia"/>
          <w:sz w:val="16"/>
          <w:szCs w:val="16"/>
        </w:rPr>
        <w:t>その他当該個別現先取引について特に定める事項</w:t>
      </w:r>
    </w:p>
    <w:p>
      <w:pPr>
        <w:rPr>
          <w:rFonts w:hAnsi="ＭＳ 明朝"/>
          <w:sz w:val="16"/>
          <w:szCs w:val="16"/>
        </w:rPr>
      </w:pPr>
      <w:r>
        <w:rPr>
          <w:rFonts w:hAnsi="ＭＳ 明朝" w:hint="eastAsia"/>
          <w:sz w:val="16"/>
          <w:szCs w:val="16"/>
        </w:rPr>
        <w:t>第 ４ 条（スタート売買金額の算出）</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スタート売買金額は、当事者間に別段の合意がある場合を除き、次の算式により算出した金額によるものとする。また、スタート売買金額の端数処理は、当事者間に別段の合意がある場合を除き、円未満を切り捨てとする。</w:t>
      </w:r>
    </w:p>
    <w:p>
      <w:pPr>
        <w:tabs>
          <w:tab w:val="right" w:pos="426"/>
        </w:tabs>
        <w:ind w:left="284"/>
        <w:rPr>
          <w:rFonts w:hAnsi="ＭＳ 明朝"/>
          <w:sz w:val="16"/>
          <w:szCs w:val="16"/>
        </w:rPr>
      </w:pPr>
      <w:r>
        <w:rPr>
          <w:rFonts w:hAnsi="ＭＳ 明朝" w:hint="eastAsia"/>
          <w:sz w:val="16"/>
          <w:szCs w:val="16"/>
        </w:rPr>
        <w:t>スタート売買金額＝取引数量×スタート取引受渡日におけるファクター×スタート売買単価</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にいうスタート売買単価は、当事者間に別段の合意がある場合を除き、次の算式により算出した数値によるものとする。また、スタート売買単価の端数処理は、当事者間に別段の合意がある場合を除き、小数点以下第７位未満を切り捨てとする。</w:t>
      </w:r>
    </w:p>
    <w:p>
      <w:pPr>
        <w:tabs>
          <w:tab w:val="right" w:pos="426"/>
        </w:tabs>
        <w:ind w:left="284"/>
        <w:rPr>
          <w:rFonts w:hAnsi="ＭＳ 明朝"/>
          <w:sz w:val="16"/>
          <w:szCs w:val="16"/>
        </w:rPr>
      </w:pPr>
      <w:r>
        <w:rPr>
          <w:rFonts w:hAnsi="ＭＳ 明朝" w:hint="eastAsia"/>
          <w:sz w:val="16"/>
          <w:szCs w:val="16"/>
        </w:rPr>
        <w:t>スタート売買単価＝取引成立時点の取引対象債券等の時価÷（１＋売買金額算出比率）</w:t>
      </w:r>
    </w:p>
    <w:p>
      <w:pPr>
        <w:rPr>
          <w:rFonts w:hAnsi="ＭＳ 明朝"/>
          <w:sz w:val="16"/>
          <w:szCs w:val="16"/>
        </w:rPr>
      </w:pPr>
      <w:r>
        <w:rPr>
          <w:rFonts w:hAnsi="ＭＳ 明朝" w:hint="eastAsia"/>
          <w:sz w:val="16"/>
          <w:szCs w:val="16"/>
        </w:rPr>
        <w:t>第 ５ 条（エンド売買金額の算出）</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エンド売買金額は、当事者間に別段の合意がある場合を除き、次の算式により算出した金額によるものとする。また、エンド売買金額の端数処理は、当事者間に別段の合意がある場合を除き、円未満を切り捨てとする。</w:t>
      </w:r>
    </w:p>
    <w:p>
      <w:pPr>
        <w:tabs>
          <w:tab w:val="right" w:pos="426"/>
        </w:tabs>
        <w:ind w:left="284"/>
        <w:rPr>
          <w:rFonts w:hAnsi="ＭＳ 明朝"/>
          <w:sz w:val="16"/>
          <w:szCs w:val="16"/>
        </w:rPr>
      </w:pPr>
      <w:r>
        <w:rPr>
          <w:rFonts w:hAnsi="ＭＳ 明朝" w:hint="eastAsia"/>
          <w:sz w:val="16"/>
          <w:szCs w:val="16"/>
        </w:rPr>
        <w:t>エンド売買金額＝取引数量×エンド取引受渡日におけるファクター×エンド売買単価</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にいうエンド売買単価は、当事者間に別段の合意がある場合を除き、次の算式により算出した数値によるものとする。また、エンド売買単価の端数処理は、当事者間に別段の合意がある場合を除き、小数点以下第８位を切り上げとする。</w:t>
      </w:r>
    </w:p>
    <w:p>
      <w:pPr>
        <w:tabs>
          <w:tab w:val="right" w:pos="426"/>
        </w:tabs>
        <w:ind w:left="284"/>
        <w:rPr>
          <w:rFonts w:hAnsi="ＭＳ 明朝"/>
          <w:sz w:val="16"/>
          <w:szCs w:val="16"/>
        </w:rPr>
      </w:pPr>
      <w:r>
        <w:rPr>
          <w:rFonts w:hAnsi="ＭＳ 明朝" w:hint="eastAsia"/>
          <w:sz w:val="16"/>
          <w:szCs w:val="16"/>
        </w:rPr>
        <w:t>エンド売買単価＝スタート売買単価＋現先レート×スタート売買単価×約定期間÷365</w:t>
      </w:r>
    </w:p>
    <w:p>
      <w:pPr>
        <w:tabs>
          <w:tab w:val="right" w:pos="426"/>
        </w:tabs>
        <w:ind w:left="284"/>
        <w:rPr>
          <w:rFonts w:hAnsi="ＭＳ 明朝"/>
          <w:sz w:val="16"/>
          <w:szCs w:val="16"/>
        </w:rPr>
      </w:pPr>
      <w:r>
        <w:rPr>
          <w:rFonts w:hAnsi="ＭＳ 明朝" w:hint="eastAsia"/>
          <w:sz w:val="16"/>
          <w:szCs w:val="16"/>
        </w:rPr>
        <w:t>ただし、「÷365」は、両当事者間の合意により、「÷360」とすることができる。</w:t>
      </w:r>
    </w:p>
    <w:p>
      <w:pPr>
        <w:rPr>
          <w:rFonts w:hAnsi="ＭＳ 明朝"/>
          <w:sz w:val="16"/>
          <w:szCs w:val="16"/>
        </w:rPr>
      </w:pPr>
      <w:r>
        <w:rPr>
          <w:rFonts w:hAnsi="ＭＳ 明朝" w:hint="eastAsia"/>
          <w:sz w:val="16"/>
          <w:szCs w:val="16"/>
        </w:rPr>
        <w:t>第 ６ 条（取引期間中の取引対象債券等のファクター変更の場合）</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６条の定めにかかわらず、取引対象債券等が定時償還銘柄であり、取引期間中にファクターが変更され、取引対象債券等の全部又は一部が定時償還される場合は、当事者間に別段の合意があるときを除き、ファクター変更日を清算</w:t>
      </w:r>
      <w:r>
        <w:rPr>
          <w:rFonts w:hAnsi="ＭＳ 明朝" w:hint="eastAsia"/>
          <w:sz w:val="16"/>
          <w:szCs w:val="16"/>
        </w:rPr>
        <w:lastRenderedPageBreak/>
        <w:t>日として、買手は売手に当該償還金額相当額を支払い、売手は買手に次項に定める金額を支払うものとする。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前項の支払金額は、次の算式により算出した金額とする。</w:t>
      </w:r>
    </w:p>
    <w:p>
      <w:pPr>
        <w:tabs>
          <w:tab w:val="right" w:pos="426"/>
        </w:tabs>
        <w:ind w:left="284"/>
        <w:rPr>
          <w:rFonts w:hAnsi="ＭＳ 明朝"/>
          <w:sz w:val="16"/>
          <w:szCs w:val="16"/>
        </w:rPr>
      </w:pPr>
      <w:r>
        <w:rPr>
          <w:rFonts w:hAnsi="ＭＳ 明朝" w:hint="eastAsia"/>
          <w:sz w:val="16"/>
          <w:szCs w:val="16"/>
        </w:rPr>
        <w:t>支払金額＝取引数量×（直前のファクター変更日におけるファクター－当該ファクター変更日におけるファクター）×（スタート売買単価＋現先レート×スタート売買単価×償還前期間÷365）</w:t>
      </w:r>
    </w:p>
    <w:p>
      <w:pPr>
        <w:tabs>
          <w:tab w:val="right" w:pos="426"/>
        </w:tabs>
        <w:ind w:left="284"/>
        <w:rPr>
          <w:rFonts w:hAnsi="ＭＳ 明朝"/>
          <w:sz w:val="16"/>
          <w:szCs w:val="16"/>
        </w:rPr>
      </w:pPr>
      <w:r>
        <w:rPr>
          <w:rFonts w:hAnsi="ＭＳ 明朝" w:hint="eastAsia"/>
          <w:sz w:val="16"/>
          <w:szCs w:val="16"/>
        </w:rPr>
        <w:t>ただし、「÷365」は、両当事者の合意により、「÷360」とすることができるものとする。</w:t>
      </w:r>
    </w:p>
    <w:p>
      <w:pPr>
        <w:tabs>
          <w:tab w:val="right" w:pos="426"/>
        </w:tabs>
        <w:ind w:left="284"/>
        <w:rPr>
          <w:rFonts w:hAnsi="ＭＳ 明朝"/>
          <w:sz w:val="16"/>
          <w:szCs w:val="16"/>
          <w:shd w:val="pct15" w:color="auto" w:fill="FFFFFF"/>
        </w:rPr>
      </w:pPr>
      <w:r>
        <w:rPr>
          <w:rFonts w:hAnsi="ＭＳ 明朝" w:hint="eastAsia"/>
          <w:sz w:val="16"/>
          <w:szCs w:val="16"/>
        </w:rPr>
        <w:t>なお、直前のファクター変更日がない場合は、上記算式における「直前のファクター変更日におけるファクター」は「スタート取引受渡日におけるファクター」とする。</w:t>
      </w:r>
    </w:p>
    <w:p>
      <w:pPr>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前二項に基づく支払については、支払金額の多い者が支払金額の少ない者に対して両者の支払金額の差額を支払うことにより決済するものとする。</w:t>
      </w:r>
    </w:p>
    <w:p>
      <w:pPr>
        <w:rPr>
          <w:rFonts w:hAnsi="ＭＳ 明朝"/>
          <w:sz w:val="16"/>
          <w:szCs w:val="16"/>
        </w:rPr>
      </w:pPr>
      <w:r>
        <w:rPr>
          <w:rFonts w:hAnsi="ＭＳ 明朝" w:hint="eastAsia"/>
          <w:sz w:val="16"/>
          <w:szCs w:val="16"/>
        </w:rPr>
        <w:t>第 ７ 条（担保の管理等）</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７条第３項に定める通知は、当事者間に別段の合意がある場合を除き、午前10時（日本時間。以下同じ。）までに行うものとする。当該通知を受けた当事者は、①当該通知の内容について異議がある場合にはその旨を、②当該通知の内容について異議がない場合には当該通知に従って移転する担保に係る次の各号に掲げる事項を、当該通知を行った当事者に対して、当事者間に別段の合意がある場合を除き、当該通知日の正午（午前12時）までに通知し、確認するものとする。当該時限までに、当該通知を受けた当事者による通知がなされなかった場合、当該通知を受けた当事者は異議がないものとみなす。当該通知を受けた当事者は、異議がない場合又は異議がないとみなされた場合、通知を受けた額と同額又は同価値の担保の移転をするものとする。</w:t>
      </w:r>
    </w:p>
    <w:p>
      <w:pPr>
        <w:tabs>
          <w:tab w:val="right" w:pos="567"/>
        </w:tabs>
        <w:ind w:left="426" w:hanging="284"/>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担保の差入者の名称</w:t>
      </w:r>
    </w:p>
    <w:p>
      <w:pPr>
        <w:tabs>
          <w:tab w:val="right" w:pos="567"/>
        </w:tabs>
        <w:ind w:left="426" w:hanging="284"/>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担保の受領者の名称</w:t>
      </w:r>
    </w:p>
    <w:p>
      <w:pPr>
        <w:tabs>
          <w:tab w:val="right" w:pos="567"/>
        </w:tabs>
        <w:ind w:left="426" w:hanging="284"/>
        <w:rPr>
          <w:rFonts w:hAnsi="ＭＳ 明朝"/>
          <w:sz w:val="16"/>
          <w:szCs w:val="16"/>
        </w:rPr>
      </w:pPr>
      <w:r>
        <w:rPr>
          <w:rFonts w:hAnsi="ＭＳ 明朝" w:hint="eastAsia"/>
          <w:sz w:val="16"/>
          <w:szCs w:val="16"/>
        </w:rPr>
        <w:t>⑶</w:t>
      </w:r>
      <w:r>
        <w:rPr>
          <w:rFonts w:hAnsi="ＭＳ 明朝"/>
          <w:sz w:val="16"/>
          <w:szCs w:val="16"/>
        </w:rPr>
        <w:tab/>
      </w:r>
      <w:r>
        <w:rPr>
          <w:rFonts w:hAnsi="ＭＳ 明朝" w:hint="eastAsia"/>
          <w:sz w:val="16"/>
          <w:szCs w:val="16"/>
        </w:rPr>
        <w:t>担保の現金、有価証券の別</w:t>
      </w:r>
    </w:p>
    <w:p>
      <w:pPr>
        <w:tabs>
          <w:tab w:val="right" w:pos="567"/>
        </w:tabs>
        <w:ind w:left="426" w:hanging="284"/>
        <w:rPr>
          <w:rFonts w:hAnsi="ＭＳ 明朝"/>
          <w:sz w:val="16"/>
          <w:szCs w:val="16"/>
        </w:rPr>
      </w:pPr>
      <w:r>
        <w:rPr>
          <w:rFonts w:hAnsi="ＭＳ 明朝" w:hint="eastAsia"/>
          <w:sz w:val="16"/>
          <w:szCs w:val="16"/>
        </w:rPr>
        <w:t>⑷</w:t>
      </w:r>
      <w:r>
        <w:rPr>
          <w:rFonts w:hAnsi="ＭＳ 明朝"/>
          <w:sz w:val="16"/>
          <w:szCs w:val="16"/>
        </w:rPr>
        <w:tab/>
      </w:r>
      <w:r>
        <w:rPr>
          <w:rFonts w:hAnsi="ＭＳ 明朝" w:hint="eastAsia"/>
          <w:sz w:val="16"/>
          <w:szCs w:val="16"/>
        </w:rPr>
        <w:t>担保金の金額（担保が現金の場合。</w:t>
      </w:r>
      <w:r>
        <w:rPr>
          <w:rFonts w:hAnsi="ＭＳ 明朝" w:hint="eastAsia"/>
          <w:sz w:val="16"/>
        </w:rPr>
        <w:t>次号において同じ。）</w:t>
      </w:r>
    </w:p>
    <w:p>
      <w:pPr>
        <w:tabs>
          <w:tab w:val="right" w:pos="567"/>
        </w:tabs>
        <w:ind w:left="426" w:hanging="284"/>
        <w:rPr>
          <w:rFonts w:hAnsi="ＭＳ 明朝"/>
          <w:sz w:val="16"/>
          <w:szCs w:val="16"/>
        </w:rPr>
      </w:pPr>
      <w:r>
        <w:rPr>
          <w:rFonts w:hAnsi="ＭＳ 明朝" w:hint="eastAsia"/>
          <w:sz w:val="16"/>
          <w:szCs w:val="16"/>
        </w:rPr>
        <w:t>⑸</w:t>
      </w:r>
      <w:r>
        <w:rPr>
          <w:rFonts w:hAnsi="ＭＳ 明朝"/>
          <w:sz w:val="16"/>
          <w:szCs w:val="16"/>
        </w:rPr>
        <w:tab/>
      </w:r>
      <w:r>
        <w:rPr>
          <w:rFonts w:hAnsi="ＭＳ 明朝" w:hint="eastAsia"/>
          <w:sz w:val="16"/>
          <w:szCs w:val="16"/>
        </w:rPr>
        <w:t>担保金利率</w:t>
      </w:r>
    </w:p>
    <w:p>
      <w:pPr>
        <w:tabs>
          <w:tab w:val="right" w:pos="567"/>
        </w:tabs>
        <w:ind w:left="426" w:hanging="284"/>
        <w:rPr>
          <w:rFonts w:hAnsi="ＭＳ 明朝"/>
          <w:sz w:val="16"/>
          <w:szCs w:val="16"/>
        </w:rPr>
      </w:pPr>
      <w:r>
        <w:rPr>
          <w:rFonts w:hAnsi="ＭＳ 明朝" w:hint="eastAsia"/>
          <w:sz w:val="16"/>
          <w:szCs w:val="16"/>
        </w:rPr>
        <w:t>⑹</w:t>
      </w:r>
      <w:r>
        <w:rPr>
          <w:rFonts w:hAnsi="ＭＳ 明朝"/>
          <w:sz w:val="16"/>
          <w:szCs w:val="16"/>
        </w:rPr>
        <w:tab/>
      </w:r>
      <w:r>
        <w:rPr>
          <w:rFonts w:hAnsi="ＭＳ 明朝" w:hint="eastAsia"/>
          <w:sz w:val="16"/>
          <w:szCs w:val="16"/>
        </w:rPr>
        <w:t>担保証券の銘柄（担保が有価証券の場合。次二号において同じ。）</w:t>
      </w:r>
    </w:p>
    <w:p>
      <w:pPr>
        <w:tabs>
          <w:tab w:val="right" w:pos="567"/>
        </w:tabs>
        <w:ind w:left="426" w:hanging="284"/>
        <w:rPr>
          <w:rFonts w:hAnsi="ＭＳ 明朝"/>
          <w:sz w:val="16"/>
          <w:szCs w:val="16"/>
        </w:rPr>
      </w:pPr>
      <w:r>
        <w:rPr>
          <w:rFonts w:hAnsi="ＭＳ 明朝" w:hint="eastAsia"/>
          <w:sz w:val="16"/>
          <w:szCs w:val="16"/>
        </w:rPr>
        <w:t>⑺</w:t>
      </w:r>
      <w:r>
        <w:rPr>
          <w:rFonts w:hAnsi="ＭＳ 明朝"/>
          <w:sz w:val="16"/>
          <w:szCs w:val="16"/>
        </w:rPr>
        <w:tab/>
      </w:r>
      <w:r>
        <w:rPr>
          <w:rFonts w:hAnsi="ＭＳ 明朝" w:hint="eastAsia"/>
          <w:sz w:val="16"/>
          <w:szCs w:val="16"/>
        </w:rPr>
        <w:t>担保証券の数量</w:t>
      </w:r>
    </w:p>
    <w:p>
      <w:pPr>
        <w:tabs>
          <w:tab w:val="right" w:pos="567"/>
        </w:tabs>
        <w:ind w:left="426" w:hanging="284"/>
        <w:rPr>
          <w:rFonts w:hAnsi="ＭＳ 明朝"/>
          <w:sz w:val="16"/>
          <w:szCs w:val="16"/>
        </w:rPr>
      </w:pPr>
      <w:r>
        <w:rPr>
          <w:rFonts w:hAnsi="ＭＳ 明朝" w:hint="eastAsia"/>
          <w:sz w:val="16"/>
          <w:szCs w:val="16"/>
        </w:rPr>
        <w:t>⑻</w:t>
      </w:r>
      <w:r>
        <w:rPr>
          <w:rFonts w:hAnsi="ＭＳ 明朝"/>
          <w:sz w:val="16"/>
          <w:szCs w:val="16"/>
        </w:rPr>
        <w:tab/>
      </w:r>
      <w:r>
        <w:rPr>
          <w:rFonts w:hAnsi="ＭＳ 明朝" w:hint="eastAsia"/>
          <w:sz w:val="16"/>
          <w:szCs w:val="16"/>
        </w:rPr>
        <w:t>担保掛目</w:t>
      </w:r>
    </w:p>
    <w:p>
      <w:pPr>
        <w:tabs>
          <w:tab w:val="right" w:pos="567"/>
        </w:tabs>
        <w:ind w:left="426" w:hanging="284"/>
        <w:rPr>
          <w:rFonts w:hAnsi="ＭＳ 明朝"/>
          <w:sz w:val="16"/>
          <w:szCs w:val="16"/>
          <w:shd w:val="pct15" w:color="auto" w:fill="FFFFFF"/>
        </w:rPr>
      </w:pPr>
      <w:r>
        <w:rPr>
          <w:rFonts w:hAnsi="ＭＳ 明朝" w:hint="eastAsia"/>
          <w:sz w:val="16"/>
          <w:szCs w:val="16"/>
        </w:rPr>
        <w:t>⑼</w:t>
      </w:r>
      <w:r>
        <w:rPr>
          <w:rFonts w:hAnsi="ＭＳ 明朝"/>
          <w:sz w:val="16"/>
          <w:szCs w:val="16"/>
        </w:rPr>
        <w:tab/>
      </w:r>
      <w:r>
        <w:rPr>
          <w:rFonts w:hAnsi="ＭＳ 明朝" w:hint="eastAsia"/>
          <w:sz w:val="16"/>
          <w:szCs w:val="16"/>
        </w:rPr>
        <w:t>担保差入期日又は担保返戻期日</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７条第６項の定めにかかわらず、同項に定める第一当事者から同種、同量の担保証券の返戻の請求があった場合、同項に定める第二当事者は、当該同種、同量の担保証券と同等又はそれ以上の時価総額を有する新たな担保証券を差し入れることができるものとする。かかる場合、第二当事者は、当事者間に別段の合意があるときを除き、担保証券の種類に応じて次の各号に定める日に、当該同種、同量の担保証券を返戻するものとする。また返戻と差入れの方法については、当事者間に別段の合意がある場合を除き、市場慣行に従うものとする。</w:t>
      </w:r>
    </w:p>
    <w:p>
      <w:pPr>
        <w:pStyle w:val="J6"/>
        <w:ind w:left="2240" w:hanging="2081"/>
      </w:pPr>
      <w:r>
        <w:rPr>
          <w:rFonts w:hint="eastAsia"/>
        </w:rPr>
        <w:t>⑴</w:t>
      </w:r>
      <w:r>
        <w:rPr>
          <w:rFonts w:hint="eastAsia"/>
        </w:rPr>
        <w:tab/>
      </w:r>
      <w:r>
        <w:rPr>
          <w:rFonts w:hint="eastAsia"/>
        </w:rPr>
        <w:tab/>
      </w:r>
      <w:r>
        <w:rPr>
          <w:rFonts w:hint="eastAsia"/>
          <w:kern w:val="0"/>
          <w:fitText w:val="1600" w:id="1137483264"/>
        </w:rPr>
        <w:t>担保証券が国債の場合</w:t>
      </w:r>
      <w:r>
        <w:rPr>
          <w:rFonts w:hint="eastAsia"/>
          <w:kern w:val="0"/>
        </w:rPr>
        <w:t xml:space="preserve">　新たな担保証券を差し入れた日から２営業日目（差入日を含む。）</w:t>
      </w:r>
    </w:p>
    <w:p>
      <w:pPr>
        <w:pStyle w:val="J6"/>
        <w:ind w:left="2240" w:hanging="2081"/>
        <w:rPr>
          <w:rFonts w:hAnsi="ＭＳ 明朝"/>
        </w:rPr>
      </w:pPr>
      <w:r>
        <w:rPr>
          <w:rFonts w:hint="eastAsia"/>
        </w:rPr>
        <w:t>⑵</w:t>
      </w:r>
      <w:r>
        <w:rPr>
          <w:rFonts w:hint="eastAsia"/>
        </w:rPr>
        <w:tab/>
      </w:r>
      <w:r>
        <w:rPr>
          <w:rFonts w:hint="eastAsia"/>
        </w:rPr>
        <w:tab/>
      </w:r>
      <w:r>
        <w:rPr>
          <w:rFonts w:hAnsi="ＭＳ 明朝" w:hint="eastAsia"/>
          <w:spacing w:val="64"/>
          <w:kern w:val="0"/>
          <w:fitText w:val="1600" w:id="1137483265"/>
        </w:rPr>
        <w:t>⑴</w:t>
      </w:r>
      <w:r>
        <w:rPr>
          <w:rFonts w:hint="eastAsia"/>
          <w:spacing w:val="64"/>
          <w:kern w:val="0"/>
          <w:fitText w:val="1600" w:id="1137483265"/>
        </w:rPr>
        <w:t>以外の場</w:t>
      </w:r>
      <w:r>
        <w:rPr>
          <w:rFonts w:hint="eastAsia"/>
          <w:kern w:val="0"/>
          <w:fitText w:val="1600" w:id="1137483265"/>
        </w:rPr>
        <w:t>合</w:t>
      </w:r>
      <w:r>
        <w:rPr>
          <w:rFonts w:hint="eastAsia"/>
          <w:kern w:val="0"/>
        </w:rPr>
        <w:t xml:space="preserve">　新たな担保証券を差し入れた日から３営業日目（差入日を含む。）</w:t>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本文第７条第８項に定める担保金利率は、担保金が日本円である場合、当事者間に別段の合意があるときを除き、当事者間に担保金残高のある各日（当該各日の営業終了時点で担保金残高がある日に限る。以下、次項までにおいて「対象日」という。）毎に、[●]</w:t>
      </w:r>
      <w:r>
        <w:rPr>
          <w:rStyle w:val="a7"/>
          <w:rFonts w:hAnsi="ＭＳ 明朝"/>
          <w:sz w:val="16"/>
          <w:szCs w:val="16"/>
        </w:rPr>
        <w:endnoteReference w:id="37"/>
      </w:r>
      <w:r>
        <w:rPr>
          <w:rFonts w:hAnsi="ＭＳ 明朝" w:hint="eastAsia"/>
          <w:sz w:val="16"/>
          <w:szCs w:val="16"/>
        </w:rPr>
        <w:t>とし、当該対象日において受入担保金残高を有する当事者から他方当事者に対する担保金利息の支払時期は当該対象日の属する月の翌月最初の営業日（以下、本項において「担保金利息支払日」という。）とする。</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７条第９項に定める担保金の差入れ若しくは返戻、担保証券の差入れ又は同種、同量の担保証券の返戻を行うべき期限は、当事者間で別段の合意がある場合を除き、担保金については、通知のあった営業日の午後３時、担保証券については、通知のあった営業日の当該担保証券の決済締切時刻として市場慣行となっている時刻とする。</w:t>
      </w:r>
    </w:p>
    <w:p>
      <w:pPr>
        <w:tabs>
          <w:tab w:val="right" w:pos="426"/>
        </w:tabs>
        <w:ind w:left="284" w:hanging="284"/>
        <w:rPr>
          <w:rFonts w:hAnsi="ＭＳ 明朝"/>
          <w:sz w:val="16"/>
          <w:szCs w:val="16"/>
        </w:rPr>
      </w:pPr>
      <w:r>
        <w:rPr>
          <w:rFonts w:hAnsi="ＭＳ 明朝" w:hint="eastAsia"/>
          <w:sz w:val="16"/>
          <w:szCs w:val="16"/>
        </w:rPr>
        <w:lastRenderedPageBreak/>
        <w:t>５</w:t>
      </w:r>
      <w:r>
        <w:rPr>
          <w:rFonts w:hAnsi="ＭＳ 明朝" w:hint="eastAsia"/>
          <w:sz w:val="16"/>
          <w:szCs w:val="16"/>
        </w:rPr>
        <w:tab/>
        <w:t>本文第７条第11項において、請求者による通知は営業日の正午（午前12時）までに行われるものとし、他方当事者は当該通知日の営業終了時までに、当該請求者に対し、申出に対する承諾する又は承諾しない旨の意思表示を行うことができる。</w:t>
      </w:r>
    </w:p>
    <w:p>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t>本文第７条第11項に定める差替日は、当事者間に別段の合意がある場合を除き、同項における通知日から起算して、国債の場合は２営業日目（当該通知日を含む。）、国債以外の債券等の場合は３営業日目（当該通知日を含む。）とする。</w:t>
      </w:r>
    </w:p>
    <w:p>
      <w:pPr>
        <w:tabs>
          <w:tab w:val="right" w:pos="426"/>
        </w:tabs>
        <w:ind w:left="284" w:hanging="284"/>
        <w:rPr>
          <w:rFonts w:hAnsi="ＭＳ 明朝"/>
          <w:sz w:val="16"/>
          <w:szCs w:val="16"/>
        </w:rPr>
      </w:pPr>
      <w:r>
        <w:rPr>
          <w:rFonts w:hAnsi="ＭＳ 明朝" w:hint="eastAsia"/>
          <w:sz w:val="16"/>
          <w:szCs w:val="16"/>
        </w:rPr>
        <w:t>７</w:t>
      </w:r>
      <w:r>
        <w:rPr>
          <w:rFonts w:hAnsi="ＭＳ 明朝" w:hint="eastAsia"/>
          <w:sz w:val="16"/>
          <w:szCs w:val="16"/>
        </w:rPr>
        <w:tab/>
        <w:t>本文第７条第11項後段の規定にかかわらず、他方当事者が当該申出を承諾した場合には、他方当事者による同種、同量の担保証券の返戻及び請求者による新たな担保証券の差入れの方法については、当事者間に別段の合意があるときを除き、市場慣行に従うものとする。</w:t>
      </w:r>
    </w:p>
    <w:p>
      <w:pPr>
        <w:tabs>
          <w:tab w:val="right" w:pos="426"/>
        </w:tabs>
        <w:ind w:left="284" w:hanging="284"/>
        <w:rPr>
          <w:rFonts w:hAnsi="ＭＳ 明朝"/>
          <w:sz w:val="16"/>
          <w:szCs w:val="16"/>
        </w:rPr>
      </w:pPr>
      <w:r>
        <w:rPr>
          <w:rFonts w:hAnsi="ＭＳ 明朝" w:hint="eastAsia"/>
          <w:sz w:val="16"/>
          <w:szCs w:val="16"/>
        </w:rPr>
        <w:t>８</w:t>
      </w:r>
      <w:r>
        <w:rPr>
          <w:rFonts w:hAnsi="ＭＳ 明朝" w:hint="eastAsia"/>
          <w:sz w:val="16"/>
          <w:szCs w:val="16"/>
        </w:rPr>
        <w:tab/>
        <w:t>本文第７条第12項に定める担保の移転に係る詳細の通知は[本条第１項各号に定める事項を記載した受渡担保明細書の交付により行う。受渡担保明細書は、本条第１項に定める確認後又は本文第７条第11項における新たな担保証券及び同種、同量の担保証券に係る本条第１項各号に定める事項を当事者間で確認した後、遅滞なく、担保の移転を行う当事者から他方当事者に交付されるものとする。/本条第１項各号に定める事項につき当事者が合意する方法により行う。当該通知は、本条第１項に定める確認後又は本文第７条第11項における新たな担保証券及び同種、同量の担保証券に係る本条第１項各号に定める事項を当事者間で確認した後、遅滞なく、担保の移転を行う当事者から他方当事者に行うものとする。]</w:t>
      </w:r>
      <w:r>
        <w:rPr>
          <w:rStyle w:val="a7"/>
          <w:rFonts w:hAnsi="ＭＳ 明朝"/>
          <w:sz w:val="16"/>
          <w:szCs w:val="16"/>
        </w:rPr>
        <w:endnoteReference w:id="38"/>
      </w:r>
    </w:p>
    <w:p>
      <w:pPr>
        <w:tabs>
          <w:tab w:val="right" w:pos="426"/>
        </w:tabs>
        <w:ind w:left="284" w:hanging="284"/>
        <w:rPr>
          <w:rFonts w:hAnsi="ＭＳ 明朝"/>
          <w:sz w:val="16"/>
          <w:szCs w:val="16"/>
        </w:rPr>
      </w:pPr>
      <w:r>
        <w:rPr>
          <w:rFonts w:hAnsi="ＭＳ 明朝" w:hint="eastAsia"/>
          <w:sz w:val="16"/>
          <w:szCs w:val="16"/>
        </w:rPr>
        <w:t>９</w:t>
      </w:r>
      <w:r>
        <w:rPr>
          <w:rFonts w:hAnsi="ＭＳ 明朝" w:hint="eastAsia"/>
          <w:sz w:val="16"/>
          <w:szCs w:val="16"/>
        </w:rPr>
        <w:tab/>
        <w:t>本文第７条第13項第７号において、相殺後の額の金銭の支払期限の定めが再評価取引締結時になされない場合には、通知のあった営業日の午後３時を支払期限とする。</w:t>
      </w:r>
    </w:p>
    <w:p>
      <w:pPr>
        <w:tabs>
          <w:tab w:val="right" w:pos="426"/>
        </w:tabs>
        <w:ind w:left="284" w:hanging="284"/>
        <w:rPr>
          <w:rFonts w:hAnsi="ＭＳ 明朝"/>
          <w:sz w:val="16"/>
          <w:szCs w:val="16"/>
        </w:rPr>
      </w:pPr>
      <w:r>
        <w:rPr>
          <w:rFonts w:hAnsi="ＭＳ 明朝" w:hint="eastAsia"/>
          <w:sz w:val="16"/>
          <w:szCs w:val="16"/>
        </w:rPr>
        <w:t>10</w:t>
      </w:r>
      <w:r>
        <w:rPr>
          <w:rFonts w:hAnsi="ＭＳ 明朝" w:hint="eastAsia"/>
          <w:sz w:val="16"/>
          <w:szCs w:val="16"/>
        </w:rPr>
        <w:tab/>
        <w:t>担保証券として移転された有価証券が定時償還銘柄であり、担保証券として移転され返戻されるまでの間にファクターが変更され、担保証券の全部又は一部が定時償還される場合、[●]</w:t>
      </w:r>
      <w:r>
        <w:rPr>
          <w:rStyle w:val="a7"/>
          <w:rFonts w:hAnsi="ＭＳ 明朝"/>
          <w:sz w:val="16"/>
          <w:szCs w:val="16"/>
        </w:rPr>
        <w:endnoteReference w:id="39"/>
      </w:r>
      <w:r>
        <w:rPr>
          <w:rFonts w:hAnsi="ＭＳ 明朝" w:hint="eastAsia"/>
          <w:sz w:val="16"/>
          <w:szCs w:val="16"/>
        </w:rPr>
        <w:t>とする。</w:t>
      </w:r>
    </w:p>
    <w:p>
      <w:pPr>
        <w:rPr>
          <w:rFonts w:hAnsi="ＭＳ 明朝"/>
          <w:sz w:val="16"/>
          <w:szCs w:val="16"/>
        </w:rPr>
      </w:pPr>
      <w:r>
        <w:rPr>
          <w:rFonts w:hAnsi="ＭＳ 明朝" w:hint="eastAsia"/>
          <w:sz w:val="16"/>
          <w:szCs w:val="16"/>
        </w:rPr>
        <w:t>第 ８ 条（取引対象債券等の差替え）</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10条第１項に定める差替日は、当事者間に別段の合意がある場合を除き、同項における通知日から起算して、国債の場合は２営業日目（当該通知日を含む。）、国債以外の債券等の場合は３営業日目（当該通知日を含む。）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本文第10条第１項に基づき取引対象債券等の差替えを行う場合、新取引対象債券等に係る現先レートは、当初の取引対象債券等に係る個別現先取引で合意された現先レートとする。</w:t>
      </w:r>
    </w:p>
    <w:p>
      <w:pPr>
        <w:rPr>
          <w:rFonts w:hAnsi="ＭＳ 明朝"/>
          <w:sz w:val="16"/>
          <w:szCs w:val="16"/>
        </w:rPr>
      </w:pPr>
      <w:r>
        <w:rPr>
          <w:rFonts w:hAnsi="ＭＳ 明朝" w:hint="eastAsia"/>
          <w:sz w:val="16"/>
          <w:szCs w:val="16"/>
        </w:rPr>
        <w:t>第 ９ 条（債務不履行による取引終了）</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本文第11条第２項及び第３項は、第６条第1項に基づく償還金額相当額及び同条第２項に基づく支払金額その他本別紙３に基づく一切の支払についても適用されるものとする。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11条第３項の適用において、同種、同量の債券等又は同種、同量の担保証券に定時償還銘柄が含まれる場合で、債務不履行時時価総額の算定において当該有価証券の時価総額を用いるときは、定時償還銘柄の時価総額は、本文第２条第18号の規定にかかわらず、当該定時償還銘柄についての利含み時価に数量を乗じた価額に、債務不履行評価時におけるファクターを乗じた価額として算定するものとする。</w:t>
      </w:r>
    </w:p>
    <w:p>
      <w:pPr>
        <w:rPr>
          <w:rFonts w:hAnsi="ＭＳ 明朝"/>
          <w:sz w:val="16"/>
          <w:szCs w:val="16"/>
        </w:rPr>
      </w:pPr>
      <w:r>
        <w:rPr>
          <w:rFonts w:hAnsi="ＭＳ 明朝" w:hint="eastAsia"/>
          <w:sz w:val="16"/>
          <w:szCs w:val="16"/>
        </w:rPr>
        <w:t>第 10 条（その他合意事項）</w:t>
      </w:r>
      <w:r>
        <w:rPr>
          <w:rStyle w:val="a7"/>
          <w:rFonts w:hAnsi="ＭＳ 明朝"/>
          <w:sz w:val="16"/>
          <w:szCs w:val="16"/>
        </w:rPr>
        <w:endnoteReference w:id="40"/>
      </w:r>
    </w:p>
    <w:p>
      <w:pPr>
        <w:pStyle w:val="J3"/>
        <w:rPr>
          <w:rFonts w:hAnsi="ＭＳ 明朝"/>
          <w:color w:val="auto"/>
        </w:rPr>
      </w:pPr>
      <w:r>
        <w:rPr>
          <w:rFonts w:hAnsi="ＭＳ 明朝" w:hint="eastAsia"/>
          <w:color w:val="auto"/>
        </w:rPr>
        <w:t>１</w:t>
      </w:r>
      <w:r>
        <w:rPr>
          <w:rFonts w:hAnsi="ＭＳ 明朝"/>
          <w:color w:val="auto"/>
        </w:rPr>
        <w:tab/>
      </w:r>
      <w:r>
        <w:rPr>
          <w:rFonts w:hAnsi="ＭＳ 明朝" w:hint="eastAsia"/>
          <w:color w:val="auto"/>
        </w:rPr>
        <w:t>第７条第２項、同条第６項及び第８条第１項に定める「２営業日目」は、日本における国債取引の決済期間につきアウトライト取引の約定日後１営業日における決済（Ｔ＋１決済）への移行が決定された場合における、当該移行後の決済期間が適用される取引以外の取引については、「３営業日目」と読み替えるものとする。</w:t>
      </w:r>
    </w:p>
    <w:p>
      <w:pPr>
        <w:pStyle w:val="J3"/>
        <w:rPr>
          <w:color w:val="auto"/>
        </w:rPr>
      </w:pPr>
      <w:r>
        <w:rPr>
          <w:rFonts w:hAnsi="ＭＳ 明朝" w:hint="eastAsia"/>
          <w:color w:val="auto"/>
        </w:rPr>
        <w:t>２</w:t>
      </w:r>
      <w:r>
        <w:rPr>
          <w:rFonts w:hAnsi="ＭＳ 明朝" w:hint="eastAsia"/>
          <w:color w:val="auto"/>
        </w:rPr>
        <w:tab/>
        <w:t>[本文第２条第13号①ロ又は同号②ロにおける時価総額は、①非債務不履行当事者により任意に選択される、非債務不履行当事者を除いた３社以上の金融商品取引業者、金融商品取引法第33条の２に定める登録を受けた金融機関又は非債務不履行当事者が適当と認めるその他の金融機関等から提示される時価より、最高値と最低値のそれぞれ１社分を除いた残りの値（複数ある場合はそれらの単純平均値）に基づき、非債務不履行当事者が計算するものとし、②３社以上の当該金融機関等より時価が提示されなかった場合、非債務不履行当事者が合理的に計算するものとする。]</w:t>
      </w:r>
      <w:r>
        <w:rPr>
          <w:rStyle w:val="a7"/>
          <w:rFonts w:hAnsi="ＭＳ 明朝"/>
          <w:color w:val="auto"/>
        </w:rPr>
        <w:endnoteReference w:id="41"/>
      </w:r>
      <w:r>
        <w:rPr>
          <w:rFonts w:hint="eastAsia"/>
          <w:color w:val="auto"/>
        </w:rPr>
        <w:t>ただし、本文第11条第４項が適用される場合、本項の規定は適用しない。</w:t>
      </w:r>
    </w:p>
    <w:p>
      <w:pPr>
        <w:pStyle w:val="J3"/>
        <w:jc w:val="center"/>
        <w:rPr>
          <w:color w:val="auto"/>
          <w:sz w:val="20"/>
        </w:rPr>
      </w:pPr>
      <w:r>
        <w:rPr>
          <w:rFonts w:hint="eastAsia"/>
          <w:color w:val="auto"/>
          <w:sz w:val="20"/>
        </w:rPr>
        <w:lastRenderedPageBreak/>
        <w:t>別紙４</w:t>
      </w:r>
    </w:p>
    <w:p>
      <w:pPr>
        <w:pStyle w:val="J3"/>
        <w:jc w:val="center"/>
        <w:rPr>
          <w:color w:val="auto"/>
        </w:rPr>
      </w:pPr>
      <w:r>
        <w:rPr>
          <w:rFonts w:hint="eastAsia"/>
          <w:color w:val="auto"/>
          <w:sz w:val="20"/>
        </w:rPr>
        <w:t>非利含み現先取引に関する合意事項</w:t>
      </w:r>
    </w:p>
    <w:p>
      <w:pPr>
        <w:pStyle w:val="J3"/>
        <w:rPr>
          <w:color w:val="auto"/>
        </w:rPr>
      </w:pPr>
    </w:p>
    <w:p>
      <w:pPr>
        <w:pStyle w:val="J3"/>
        <w:ind w:left="0" w:firstLine="0"/>
        <w:rPr>
          <w:rFonts w:hAnsi="ＭＳ 明朝"/>
          <w:color w:val="auto"/>
        </w:rPr>
      </w:pPr>
      <w:r>
        <w:rPr>
          <w:rFonts w:hAnsi="ＭＳ 明朝" w:hint="eastAsia"/>
          <w:color w:val="auto"/>
        </w:rPr>
        <w:t>第 １ 条（適用）</w:t>
      </w:r>
    </w:p>
    <w:p>
      <w:pPr>
        <w:tabs>
          <w:tab w:val="right" w:pos="426"/>
        </w:tabs>
        <w:ind w:left="284" w:hanging="284"/>
        <w:rPr>
          <w:sz w:val="16"/>
        </w:rPr>
      </w:pPr>
      <w:r>
        <w:rPr>
          <w:rFonts w:hAnsi="ＭＳ 明朝" w:hint="eastAsia"/>
          <w:sz w:val="16"/>
          <w:szCs w:val="16"/>
        </w:rPr>
        <w:t>１</w:t>
      </w:r>
      <w:r>
        <w:rPr>
          <w:rFonts w:hAnsi="ＭＳ 明朝" w:hint="eastAsia"/>
          <w:sz w:val="16"/>
          <w:szCs w:val="16"/>
        </w:rPr>
        <w:tab/>
      </w:r>
      <w:r>
        <w:rPr>
          <w:rFonts w:hint="eastAsia"/>
          <w:sz w:val="16"/>
        </w:rPr>
        <w:t>甲と乙との間で行われる個別現先取引のうち、売買単価に債券等についての経過利子を含めずに表示するもの（以下「非利含み現先取引」という。）については、本別紙４が適用されるものとする。</w:t>
      </w:r>
    </w:p>
    <w:p>
      <w:pPr>
        <w:tabs>
          <w:tab w:val="right" w:pos="426"/>
        </w:tabs>
        <w:ind w:left="284" w:hanging="284"/>
        <w:rPr>
          <w:rFonts w:hAnsi="ＭＳ 明朝"/>
          <w:sz w:val="16"/>
          <w:szCs w:val="16"/>
        </w:rPr>
      </w:pPr>
      <w:r>
        <w:rPr>
          <w:rFonts w:hint="eastAsia"/>
          <w:sz w:val="16"/>
        </w:rPr>
        <w:t>２</w:t>
      </w:r>
      <w:r>
        <w:rPr>
          <w:rFonts w:hint="eastAsia"/>
          <w:sz w:val="16"/>
        </w:rPr>
        <w:tab/>
        <w:t>本別紙４の適用を受ける個別現先取引について、次の各号に掲げる用語の定義は、本文第２条の規定にかかわらず当該各号に定めるところによる。</w:t>
      </w:r>
    </w:p>
    <w:p>
      <w:pPr>
        <w:pStyle w:val="J6"/>
        <w:tabs>
          <w:tab w:val="clear" w:pos="320"/>
          <w:tab w:val="left" w:pos="2268"/>
        </w:tabs>
        <w:ind w:left="2268" w:hanging="2108"/>
      </w:pPr>
      <w:r>
        <w:rPr>
          <w:rFonts w:hint="eastAsia"/>
        </w:rPr>
        <w:t>⑴</w:t>
      </w:r>
      <w:r>
        <w:rPr>
          <w:rFonts w:hint="eastAsia"/>
        </w:rPr>
        <w:tab/>
      </w:r>
      <w:r>
        <w:rPr>
          <w:rFonts w:hint="eastAsia"/>
          <w:spacing w:val="640"/>
          <w:kern w:val="0"/>
          <w:fitText w:val="1600" w:id="1005765632"/>
        </w:rPr>
        <w:t>時</w:t>
      </w:r>
      <w:r>
        <w:rPr>
          <w:rFonts w:hint="eastAsia"/>
          <w:kern w:val="0"/>
          <w:fitText w:val="1600" w:id="1005765632"/>
        </w:rPr>
        <w:t>価</w:t>
      </w:r>
      <w:r>
        <w:rPr>
          <w:rFonts w:hint="eastAsia"/>
        </w:rPr>
        <w:t xml:space="preserve">　個別</w:t>
      </w:r>
      <w:r>
        <w:rPr>
          <w:rFonts w:hAnsi="ＭＳ 明朝" w:hint="eastAsia"/>
        </w:rPr>
        <w:t>有価</w:t>
      </w:r>
      <w:r>
        <w:rPr>
          <w:rFonts w:hint="eastAsia"/>
        </w:rPr>
        <w:t>証券についての経過利子を含まない額面</w:t>
      </w:r>
      <w:r>
        <w:t>100</w:t>
      </w:r>
      <w:r>
        <w:rPr>
          <w:rFonts w:hint="eastAsia"/>
        </w:rPr>
        <w:t>％当たりの市場価格に基づく価額割合又は合理的に算定された価額割合をいう。</w:t>
      </w:r>
    </w:p>
    <w:p>
      <w:pPr>
        <w:pStyle w:val="J6"/>
        <w:ind w:left="2240" w:hanging="2081"/>
      </w:pPr>
      <w:r>
        <w:rPr>
          <w:rFonts w:hint="eastAsia"/>
        </w:rPr>
        <w:t>⑵</w:t>
      </w:r>
      <w:r>
        <w:rPr>
          <w:rFonts w:hint="eastAsia"/>
        </w:rPr>
        <w:tab/>
      </w:r>
      <w:r>
        <w:rPr>
          <w:rFonts w:hint="eastAsia"/>
        </w:rPr>
        <w:tab/>
      </w:r>
      <w:r>
        <w:rPr>
          <w:rFonts w:hint="eastAsia"/>
          <w:spacing w:val="160"/>
          <w:kern w:val="0"/>
          <w:fitText w:val="1600" w:id="1005765633"/>
        </w:rPr>
        <w:t>時価総</w:t>
      </w:r>
      <w:r>
        <w:rPr>
          <w:rFonts w:hint="eastAsia"/>
          <w:kern w:val="0"/>
          <w:fitText w:val="1600" w:id="1005765633"/>
        </w:rPr>
        <w:t>額</w:t>
      </w:r>
      <w:r>
        <w:rPr>
          <w:rFonts w:hint="eastAsia"/>
        </w:rPr>
        <w:t xml:space="preserve">　個別</w:t>
      </w:r>
      <w:r>
        <w:rPr>
          <w:rFonts w:hAnsi="ＭＳ 明朝" w:hint="eastAsia"/>
        </w:rPr>
        <w:t>有価</w:t>
      </w:r>
      <w:r>
        <w:rPr>
          <w:rFonts w:hint="eastAsia"/>
        </w:rPr>
        <w:t>証券についての時価に経過利子を加算したものに数量を乗じた価額をいう。</w:t>
      </w:r>
    </w:p>
    <w:p>
      <w:pPr>
        <w:pStyle w:val="J6"/>
        <w:ind w:left="2240" w:hanging="2081"/>
      </w:pPr>
      <w:r>
        <w:rPr>
          <w:rFonts w:hint="eastAsia"/>
        </w:rPr>
        <w:t>⑶</w:t>
      </w:r>
      <w:r>
        <w:rPr>
          <w:rFonts w:hint="eastAsia"/>
        </w:rPr>
        <w:tab/>
      </w:r>
      <w:r>
        <w:rPr>
          <w:rFonts w:hint="eastAsia"/>
        </w:rPr>
        <w:tab/>
      </w:r>
      <w:r>
        <w:rPr>
          <w:rFonts w:hint="eastAsia"/>
          <w:spacing w:val="160"/>
          <w:kern w:val="0"/>
          <w:fitText w:val="1600" w:id="1005765634"/>
        </w:rPr>
        <w:t>売買金</w:t>
      </w:r>
      <w:r>
        <w:rPr>
          <w:rFonts w:hint="eastAsia"/>
          <w:kern w:val="0"/>
          <w:fitText w:val="1600" w:id="1005765634"/>
        </w:rPr>
        <w:t>額</w:t>
      </w:r>
      <w:r>
        <w:rPr>
          <w:rFonts w:hint="eastAsia"/>
        </w:rPr>
        <w:t xml:space="preserve">　債券等についての売買単価に経過利子を加算したものに数量を乗じた価額をいう。</w:t>
      </w:r>
    </w:p>
    <w:p>
      <w:pPr>
        <w:pStyle w:val="J6"/>
        <w:ind w:left="2240" w:hanging="2081"/>
      </w:pPr>
      <w:r>
        <w:rPr>
          <w:rFonts w:hint="eastAsia"/>
        </w:rPr>
        <w:t>⑷</w:t>
      </w:r>
      <w:r>
        <w:rPr>
          <w:rFonts w:hint="eastAsia"/>
        </w:rPr>
        <w:tab/>
      </w:r>
      <w:r>
        <w:rPr>
          <w:rFonts w:hint="eastAsia"/>
        </w:rPr>
        <w:tab/>
      </w:r>
      <w:r>
        <w:rPr>
          <w:rFonts w:hint="eastAsia"/>
          <w:spacing w:val="160"/>
          <w:kern w:val="0"/>
          <w:fitText w:val="1600" w:id="1005765635"/>
        </w:rPr>
        <w:t>売買単</w:t>
      </w:r>
      <w:r>
        <w:rPr>
          <w:rFonts w:hint="eastAsia"/>
          <w:kern w:val="0"/>
          <w:fitText w:val="1600" w:id="1005765635"/>
        </w:rPr>
        <w:t>価</w:t>
      </w:r>
      <w:r>
        <w:rPr>
          <w:rFonts w:hint="eastAsia"/>
        </w:rPr>
        <w:t xml:space="preserve">　債券等についての経過利子を含まない額面100％当たりの価額割合をいう。</w:t>
      </w:r>
    </w:p>
    <w:p>
      <w:pPr>
        <w:pStyle w:val="J6"/>
        <w:tabs>
          <w:tab w:val="clear" w:pos="320"/>
        </w:tabs>
        <w:ind w:left="2240" w:hanging="2081"/>
      </w:pPr>
      <w:r>
        <w:rPr>
          <w:rFonts w:hAnsi="ＭＳ 明朝" w:hint="eastAsia"/>
        </w:rPr>
        <w:t>⑸</w:t>
      </w:r>
      <w:r>
        <w:rPr>
          <w:rFonts w:hAnsi="ＭＳ 明朝"/>
        </w:rPr>
        <w:tab/>
      </w:r>
      <w:r>
        <w:rPr>
          <w:rFonts w:hAnsi="ＭＳ 明朝" w:hint="eastAsia"/>
          <w:spacing w:val="23"/>
          <w:kern w:val="0"/>
          <w:fitText w:val="1600" w:id="1140524544"/>
        </w:rPr>
        <w:t>売買金額算出比</w:t>
      </w:r>
      <w:r>
        <w:rPr>
          <w:rFonts w:hAnsi="ＭＳ 明朝" w:hint="eastAsia"/>
          <w:kern w:val="0"/>
          <w:fitText w:val="1600" w:id="1140524544"/>
        </w:rPr>
        <w:t>率</w:t>
      </w:r>
      <w:r>
        <w:rPr>
          <w:rFonts w:hAnsi="ＭＳ 明朝" w:hint="eastAsia"/>
          <w:kern w:val="0"/>
        </w:rPr>
        <w:t xml:space="preserve">　個別現先取引において、取引成立時点における取引対象債券等の時価にスタート取引受渡日における経過利子を加えた値を、スタート売買単価にスタート取引受渡日における経過利子を加えた値で除し、これにより算出された比率から１を減じた比率をいう。</w:t>
      </w:r>
    </w:p>
    <w:p>
      <w:pPr>
        <w:rPr>
          <w:rFonts w:hAnsi="ＭＳ 明朝"/>
          <w:sz w:val="16"/>
          <w:szCs w:val="16"/>
        </w:rPr>
      </w:pPr>
      <w:r>
        <w:rPr>
          <w:rFonts w:hAnsi="ＭＳ 明朝" w:hint="eastAsia"/>
          <w:sz w:val="16"/>
          <w:szCs w:val="16"/>
        </w:rPr>
        <w:t>第 ２ 条（本文第２条及び前条に規定する定義に関する合意）</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本文第２条第７号に定義する経過利子の端数処理は、当事者間に別段の合意がある場合を除き、小数点以下第７位未満を切り捨てとする。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条第２項第１号に定義する時価は、当事者間に別段の合意がある場合を除き、日本証券業協会が発表する「売買参考統計値（平均値）」の「単利利回り」を用いて算出した価格を同号に定める「市場価格」として算出するものとする。</w:t>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本文第２条第27号に定義する対顧客電信買相場は、[●／当事者間での合意によるもの]</w:t>
      </w:r>
      <w:r>
        <w:rPr>
          <w:rStyle w:val="a7"/>
          <w:rFonts w:hAnsi="ＭＳ 明朝"/>
          <w:sz w:val="16"/>
          <w:szCs w:val="16"/>
        </w:rPr>
        <w:endnoteReference w:id="42"/>
      </w:r>
      <w:r>
        <w:rPr>
          <w:rFonts w:hAnsi="ＭＳ 明朝" w:hint="eastAsia"/>
          <w:sz w:val="16"/>
          <w:szCs w:val="16"/>
        </w:rPr>
        <w:t>とする。</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本文第２条第29号に定義する担保掛目は、当事者間に別段の合意がある場合を除き、100％とする。</w:t>
      </w:r>
    </w:p>
    <w:p>
      <w:pPr>
        <w:tabs>
          <w:tab w:val="right" w:pos="426"/>
        </w:tabs>
        <w:ind w:left="284" w:hanging="284"/>
        <w:rPr>
          <w:rFonts w:hAnsi="ＭＳ 明朝"/>
          <w:sz w:val="16"/>
          <w:szCs w:val="16"/>
        </w:rPr>
      </w:pPr>
      <w:r>
        <w:rPr>
          <w:rFonts w:hAnsi="ＭＳ 明朝" w:hint="eastAsia"/>
          <w:sz w:val="16"/>
          <w:szCs w:val="16"/>
        </w:rPr>
        <w:t>５</w:t>
      </w:r>
      <w:r>
        <w:rPr>
          <w:rFonts w:hAnsi="ＭＳ 明朝" w:hint="eastAsia"/>
          <w:sz w:val="16"/>
          <w:szCs w:val="16"/>
        </w:rPr>
        <w:tab/>
        <w:t>本文第２条第33号に定義する担保証券は、[国債（国庫短期証券を含む。）[、●、]及び担保の差入れにあたって両当事者が合意するその他の有価証券]</w:t>
      </w:r>
      <w:r>
        <w:rPr>
          <w:rStyle w:val="a7"/>
          <w:rFonts w:hAnsi="ＭＳ 明朝"/>
          <w:sz w:val="16"/>
          <w:szCs w:val="16"/>
        </w:rPr>
        <w:endnoteReference w:id="43"/>
      </w:r>
      <w:r>
        <w:rPr>
          <w:rFonts w:hAnsi="ＭＳ 明朝" w:hint="eastAsia"/>
          <w:sz w:val="16"/>
          <w:szCs w:val="16"/>
        </w:rPr>
        <w:t>とする。</w:t>
      </w:r>
    </w:p>
    <w:p>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t>前条第２項第５号に定義する売買金額算出比率は、</w:t>
      </w:r>
      <w:r>
        <w:rPr>
          <w:rFonts w:hint="eastAsia"/>
          <w:sz w:val="16"/>
        </w:rPr>
        <w:t>[●]</w:t>
      </w:r>
      <w:r>
        <w:rPr>
          <w:rStyle w:val="a7"/>
          <w:sz w:val="16"/>
        </w:rPr>
        <w:endnoteReference w:id="44"/>
      </w:r>
      <w:r>
        <w:rPr>
          <w:rFonts w:hint="eastAsia"/>
          <w:sz w:val="16"/>
        </w:rPr>
        <w:t>とする。</w:t>
      </w:r>
    </w:p>
    <w:p>
      <w:pPr>
        <w:rPr>
          <w:rFonts w:hAnsi="ＭＳ 明朝"/>
          <w:sz w:val="16"/>
          <w:szCs w:val="16"/>
        </w:rPr>
      </w:pPr>
      <w:r>
        <w:rPr>
          <w:rFonts w:hAnsi="ＭＳ 明朝" w:hint="eastAsia"/>
          <w:sz w:val="16"/>
          <w:szCs w:val="16"/>
        </w:rPr>
        <w:t>第 ３ 条（個別取引明細書の交付又は個別現先取引内容の確認）</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本文第３条第２項の規定に基づく個別取引明細書又は契約内容の確認は、本条に定めるところに従って行う。</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 [●]</w:t>
      </w:r>
      <w:r>
        <w:rPr>
          <w:rStyle w:val="a7"/>
          <w:rFonts w:hAnsi="ＭＳ 明朝"/>
          <w:sz w:val="16"/>
          <w:szCs w:val="16"/>
        </w:rPr>
        <w:endnoteReference w:id="45"/>
      </w:r>
      <w:r>
        <w:rPr>
          <w:rFonts w:hAnsi="ＭＳ 明朝" w:hint="eastAsia"/>
          <w:sz w:val="16"/>
          <w:szCs w:val="16"/>
        </w:rPr>
        <w:t>（以下、本条において「交付者」という。）は、本文第３条第１項により個別現先取引が成立した場合、他方当事者（以下、本条において「被交付者」という。）に対し、[速やかに]</w:t>
      </w:r>
      <w:r>
        <w:rPr>
          <w:rStyle w:val="a7"/>
          <w:rFonts w:hAnsi="ＭＳ 明朝"/>
          <w:sz w:val="16"/>
          <w:szCs w:val="16"/>
        </w:rPr>
        <w:endnoteReference w:id="46"/>
      </w:r>
      <w:r>
        <w:rPr>
          <w:rFonts w:hAnsi="ＭＳ 明朝" w:hint="eastAsia"/>
          <w:sz w:val="16"/>
          <w:szCs w:val="16"/>
        </w:rPr>
        <w:t>、本基本契約書に準拠する旨及び次項に定める事項を記載した個別取引明細書を交付する。被交付者は、交付を受けた個別取引明細書を速やかに確認し、契約内容と相違がある場合には直ちに交付者に連絡するものとする。かかる連絡を行わなかった場合、被交付者は個別取引明細書の内容に同意したものとみなす。/両当事者は、本文第３条第１項により個別現先取引が成立した場合、[速やかに]</w:t>
      </w:r>
      <w:r>
        <w:rPr>
          <w:rStyle w:val="a7"/>
          <w:rFonts w:hAnsi="ＭＳ 明朝"/>
          <w:sz w:val="16"/>
          <w:szCs w:val="16"/>
        </w:rPr>
        <w:endnoteReference w:id="47"/>
      </w:r>
      <w:r>
        <w:rPr>
          <w:rFonts w:hAnsi="ＭＳ 明朝" w:hint="eastAsia"/>
          <w:sz w:val="16"/>
          <w:szCs w:val="16"/>
        </w:rPr>
        <w:t>、[●]</w:t>
      </w:r>
      <w:r>
        <w:rPr>
          <w:rStyle w:val="a7"/>
          <w:rFonts w:hAnsi="ＭＳ 明朝"/>
          <w:sz w:val="16"/>
          <w:szCs w:val="16"/>
        </w:rPr>
        <w:endnoteReference w:id="48"/>
      </w:r>
      <w:r>
        <w:rPr>
          <w:rFonts w:hAnsi="ＭＳ 明朝" w:hint="eastAsia"/>
          <w:sz w:val="16"/>
          <w:szCs w:val="16"/>
        </w:rPr>
        <w:t>によって、次項に定める事項を確認するものとする。]</w:t>
      </w:r>
      <w:r>
        <w:rPr>
          <w:rStyle w:val="a7"/>
          <w:rFonts w:hAnsi="ＭＳ 明朝"/>
          <w:sz w:val="16"/>
          <w:szCs w:val="16"/>
        </w:rPr>
        <w:endnoteReference w:id="49"/>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個別取引明細書に記載すべき事項又は確認すべき契約内容は、次の各号に掲げる事項とする。</w:t>
      </w:r>
    </w:p>
    <w:p>
      <w:pPr>
        <w:tabs>
          <w:tab w:val="right" w:pos="567"/>
        </w:tabs>
        <w:ind w:left="426" w:hanging="267"/>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買手及び売手の名称</w:t>
      </w:r>
    </w:p>
    <w:p>
      <w:pPr>
        <w:tabs>
          <w:tab w:val="right" w:pos="567"/>
        </w:tabs>
        <w:ind w:left="426" w:hanging="267"/>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取引対象債券等</w:t>
      </w:r>
    </w:p>
    <w:p>
      <w:pPr>
        <w:tabs>
          <w:tab w:val="right" w:pos="567"/>
        </w:tabs>
        <w:ind w:left="426" w:hanging="267"/>
        <w:rPr>
          <w:rFonts w:hAnsi="ＭＳ 明朝"/>
          <w:sz w:val="16"/>
          <w:szCs w:val="16"/>
          <w:lang w:eastAsia="zh-CN"/>
        </w:rPr>
      </w:pPr>
      <w:r>
        <w:rPr>
          <w:rFonts w:hAnsi="ＭＳ 明朝" w:hint="eastAsia"/>
          <w:sz w:val="16"/>
          <w:szCs w:val="16"/>
          <w:lang w:eastAsia="zh-CN"/>
        </w:rPr>
        <w:t>⑶</w:t>
      </w:r>
      <w:r>
        <w:rPr>
          <w:rFonts w:hAnsi="ＭＳ 明朝"/>
          <w:sz w:val="16"/>
          <w:szCs w:val="16"/>
          <w:lang w:eastAsia="zh-CN"/>
        </w:rPr>
        <w:tab/>
      </w:r>
      <w:r>
        <w:rPr>
          <w:rFonts w:hAnsi="ＭＳ 明朝" w:hint="eastAsia"/>
          <w:sz w:val="16"/>
          <w:szCs w:val="16"/>
          <w:lang w:eastAsia="zh-CN"/>
        </w:rPr>
        <w:t>取引数量</w:t>
      </w:r>
    </w:p>
    <w:p>
      <w:pPr>
        <w:tabs>
          <w:tab w:val="right" w:pos="567"/>
        </w:tabs>
        <w:ind w:left="426" w:hanging="267"/>
        <w:rPr>
          <w:rFonts w:hAnsi="ＭＳ 明朝"/>
          <w:sz w:val="16"/>
          <w:szCs w:val="16"/>
          <w:lang w:eastAsia="zh-CN"/>
        </w:rPr>
      </w:pPr>
      <w:r>
        <w:rPr>
          <w:rFonts w:hAnsi="ＭＳ 明朝" w:hint="eastAsia"/>
          <w:sz w:val="16"/>
          <w:szCs w:val="16"/>
          <w:lang w:eastAsia="zh-CN"/>
        </w:rPr>
        <w:t>⑷</w:t>
      </w:r>
      <w:r>
        <w:rPr>
          <w:rFonts w:hAnsi="ＭＳ 明朝"/>
          <w:sz w:val="16"/>
          <w:szCs w:val="16"/>
          <w:lang w:eastAsia="zh-CN"/>
        </w:rPr>
        <w:tab/>
      </w:r>
      <w:r>
        <w:rPr>
          <w:rFonts w:hAnsi="ＭＳ 明朝" w:hint="eastAsia"/>
          <w:sz w:val="16"/>
          <w:szCs w:val="16"/>
          <w:lang w:eastAsia="zh-CN"/>
        </w:rPr>
        <w:t>売買金額算出比率</w:t>
      </w:r>
    </w:p>
    <w:p>
      <w:pPr>
        <w:tabs>
          <w:tab w:val="right" w:pos="567"/>
        </w:tabs>
        <w:ind w:left="426" w:hanging="267"/>
        <w:rPr>
          <w:rFonts w:hAnsi="ＭＳ 明朝"/>
          <w:sz w:val="16"/>
          <w:szCs w:val="16"/>
        </w:rPr>
      </w:pPr>
      <w:r>
        <w:rPr>
          <w:rFonts w:hAnsi="ＭＳ 明朝" w:hint="eastAsia"/>
          <w:sz w:val="16"/>
          <w:szCs w:val="16"/>
        </w:rPr>
        <w:t>⑸</w:t>
      </w:r>
      <w:r>
        <w:rPr>
          <w:rFonts w:hAnsi="ＭＳ 明朝"/>
          <w:sz w:val="16"/>
          <w:szCs w:val="16"/>
        </w:rPr>
        <w:tab/>
      </w:r>
      <w:r>
        <w:rPr>
          <w:rFonts w:hAnsi="ＭＳ 明朝" w:hint="eastAsia"/>
          <w:sz w:val="16"/>
          <w:szCs w:val="16"/>
        </w:rPr>
        <w:t>現先レート</w:t>
      </w:r>
    </w:p>
    <w:p>
      <w:pPr>
        <w:tabs>
          <w:tab w:val="right" w:pos="567"/>
        </w:tabs>
        <w:ind w:left="426" w:hanging="267"/>
        <w:rPr>
          <w:rFonts w:hAnsi="ＭＳ 明朝"/>
          <w:sz w:val="16"/>
          <w:szCs w:val="16"/>
        </w:rPr>
      </w:pPr>
      <w:r>
        <w:rPr>
          <w:rFonts w:hAnsi="ＭＳ 明朝" w:hint="eastAsia"/>
          <w:sz w:val="16"/>
          <w:szCs w:val="16"/>
        </w:rPr>
        <w:t>⑹</w:t>
      </w:r>
      <w:r>
        <w:rPr>
          <w:rFonts w:hAnsi="ＭＳ 明朝"/>
          <w:sz w:val="16"/>
          <w:szCs w:val="16"/>
        </w:rPr>
        <w:tab/>
      </w:r>
      <w:r>
        <w:rPr>
          <w:rFonts w:hAnsi="ＭＳ 明朝" w:hint="eastAsia"/>
          <w:sz w:val="16"/>
          <w:szCs w:val="16"/>
        </w:rPr>
        <w:t>取引約定日</w:t>
      </w:r>
    </w:p>
    <w:p>
      <w:pPr>
        <w:tabs>
          <w:tab w:val="right" w:pos="567"/>
        </w:tabs>
        <w:ind w:left="426" w:hanging="267"/>
        <w:rPr>
          <w:rFonts w:hAnsi="ＭＳ 明朝"/>
          <w:sz w:val="16"/>
          <w:szCs w:val="16"/>
        </w:rPr>
      </w:pPr>
      <w:r>
        <w:rPr>
          <w:rFonts w:hAnsi="ＭＳ 明朝" w:hint="eastAsia"/>
          <w:sz w:val="16"/>
          <w:szCs w:val="16"/>
        </w:rPr>
        <w:lastRenderedPageBreak/>
        <w:t>⑺</w:t>
      </w:r>
      <w:r>
        <w:rPr>
          <w:rFonts w:hAnsi="ＭＳ 明朝"/>
          <w:sz w:val="16"/>
          <w:szCs w:val="16"/>
        </w:rPr>
        <w:tab/>
      </w:r>
      <w:r>
        <w:rPr>
          <w:rFonts w:hAnsi="ＭＳ 明朝" w:hint="eastAsia"/>
          <w:sz w:val="16"/>
          <w:szCs w:val="16"/>
        </w:rPr>
        <w:t>スタート取引受渡日</w:t>
      </w:r>
    </w:p>
    <w:p>
      <w:pPr>
        <w:tabs>
          <w:tab w:val="right" w:pos="567"/>
        </w:tabs>
        <w:ind w:left="426" w:hanging="267"/>
        <w:rPr>
          <w:rFonts w:hAnsi="ＭＳ 明朝"/>
          <w:sz w:val="16"/>
          <w:szCs w:val="16"/>
        </w:rPr>
      </w:pPr>
      <w:r>
        <w:rPr>
          <w:rFonts w:hAnsi="ＭＳ 明朝" w:hint="eastAsia"/>
          <w:sz w:val="16"/>
          <w:szCs w:val="16"/>
        </w:rPr>
        <w:t>⑻</w:t>
      </w:r>
      <w:r>
        <w:rPr>
          <w:rFonts w:hAnsi="ＭＳ 明朝"/>
          <w:sz w:val="16"/>
          <w:szCs w:val="16"/>
        </w:rPr>
        <w:tab/>
      </w:r>
      <w:r>
        <w:rPr>
          <w:rFonts w:hAnsi="ＭＳ 明朝" w:hint="eastAsia"/>
          <w:sz w:val="16"/>
          <w:szCs w:val="16"/>
        </w:rPr>
        <w:t>スタート売買単価</w:t>
      </w:r>
    </w:p>
    <w:p>
      <w:pPr>
        <w:tabs>
          <w:tab w:val="right" w:pos="567"/>
        </w:tabs>
        <w:ind w:left="426" w:hanging="267"/>
        <w:rPr>
          <w:rFonts w:hAnsi="ＭＳ 明朝"/>
          <w:sz w:val="16"/>
          <w:szCs w:val="16"/>
        </w:rPr>
      </w:pPr>
      <w:r>
        <w:rPr>
          <w:rFonts w:hAnsi="ＭＳ 明朝" w:hint="eastAsia"/>
          <w:sz w:val="16"/>
          <w:szCs w:val="16"/>
        </w:rPr>
        <w:t>⑼</w:t>
      </w:r>
      <w:r>
        <w:rPr>
          <w:rFonts w:hAnsi="ＭＳ 明朝"/>
          <w:sz w:val="16"/>
          <w:szCs w:val="16"/>
        </w:rPr>
        <w:tab/>
      </w:r>
      <w:r>
        <w:rPr>
          <w:rFonts w:hAnsi="ＭＳ 明朝" w:hint="eastAsia"/>
          <w:sz w:val="16"/>
          <w:szCs w:val="16"/>
        </w:rPr>
        <w:t>スタート売買金額</w:t>
      </w:r>
    </w:p>
    <w:p>
      <w:pPr>
        <w:tabs>
          <w:tab w:val="right" w:pos="567"/>
        </w:tabs>
        <w:ind w:left="426" w:hanging="267"/>
        <w:rPr>
          <w:rFonts w:hAnsi="ＭＳ 明朝"/>
          <w:sz w:val="16"/>
          <w:szCs w:val="16"/>
        </w:rPr>
      </w:pPr>
      <w:r>
        <w:rPr>
          <w:rFonts w:hAnsi="ＭＳ 明朝" w:hint="eastAsia"/>
          <w:sz w:val="16"/>
          <w:szCs w:val="16"/>
        </w:rPr>
        <w:t>⑽</w:t>
      </w:r>
      <w:r>
        <w:rPr>
          <w:rFonts w:hAnsi="ＭＳ 明朝"/>
          <w:sz w:val="16"/>
          <w:szCs w:val="16"/>
        </w:rPr>
        <w:tab/>
      </w:r>
      <w:r>
        <w:rPr>
          <w:rFonts w:hAnsi="ＭＳ 明朝" w:hint="eastAsia"/>
          <w:sz w:val="16"/>
          <w:szCs w:val="16"/>
        </w:rPr>
        <w:t>エンド取引受渡日</w:t>
      </w:r>
    </w:p>
    <w:p>
      <w:pPr>
        <w:tabs>
          <w:tab w:val="right" w:pos="567"/>
        </w:tabs>
        <w:ind w:left="426" w:hanging="267"/>
        <w:rPr>
          <w:rFonts w:hAnsi="ＭＳ 明朝"/>
          <w:sz w:val="16"/>
          <w:szCs w:val="16"/>
        </w:rPr>
      </w:pPr>
      <w:r>
        <w:rPr>
          <w:rFonts w:hAnsi="ＭＳ 明朝" w:hint="eastAsia"/>
          <w:sz w:val="16"/>
          <w:szCs w:val="16"/>
        </w:rPr>
        <w:t>⑾</w:t>
      </w:r>
      <w:r>
        <w:rPr>
          <w:rFonts w:hAnsi="ＭＳ 明朝"/>
          <w:sz w:val="16"/>
          <w:szCs w:val="16"/>
        </w:rPr>
        <w:tab/>
      </w:r>
      <w:r>
        <w:rPr>
          <w:rFonts w:hAnsi="ＭＳ 明朝" w:hint="eastAsia"/>
          <w:sz w:val="16"/>
          <w:szCs w:val="16"/>
        </w:rPr>
        <w:t>エンド売買単価</w:t>
      </w:r>
    </w:p>
    <w:p>
      <w:pPr>
        <w:tabs>
          <w:tab w:val="right" w:pos="567"/>
        </w:tabs>
        <w:ind w:left="426" w:hanging="267"/>
        <w:rPr>
          <w:rFonts w:hAnsi="ＭＳ 明朝"/>
          <w:sz w:val="14"/>
          <w:szCs w:val="16"/>
        </w:rPr>
      </w:pPr>
      <w:r>
        <w:rPr>
          <w:rFonts w:hint="eastAsia"/>
        </w:rPr>
        <w:t>⑿</w:t>
      </w:r>
      <w:r>
        <w:rPr>
          <w:rFonts w:hint="eastAsia"/>
        </w:rPr>
        <w:tab/>
      </w:r>
      <w:r>
        <w:rPr>
          <w:rFonts w:hint="eastAsia"/>
          <w:sz w:val="16"/>
        </w:rPr>
        <w:t>エンド売買金額</w:t>
      </w:r>
    </w:p>
    <w:p>
      <w:pPr>
        <w:tabs>
          <w:tab w:val="right" w:pos="567"/>
        </w:tabs>
        <w:ind w:left="426" w:hanging="267"/>
        <w:rPr>
          <w:rFonts w:hAnsi="ＭＳ 明朝"/>
          <w:sz w:val="16"/>
          <w:szCs w:val="16"/>
        </w:rPr>
      </w:pPr>
      <w:r>
        <w:rPr>
          <w:rFonts w:hint="eastAsia"/>
        </w:rPr>
        <w:t>⒀</w:t>
      </w:r>
      <w:r>
        <w:rPr>
          <w:rFonts w:hAnsi="ＭＳ 明朝"/>
          <w:sz w:val="16"/>
          <w:szCs w:val="16"/>
        </w:rPr>
        <w:tab/>
      </w:r>
      <w:r>
        <w:rPr>
          <w:rFonts w:hAnsi="ＭＳ 明朝" w:hint="eastAsia"/>
          <w:sz w:val="16"/>
          <w:szCs w:val="16"/>
        </w:rPr>
        <w:t>その他当該個別現先取引について特に定める事項</w:t>
      </w:r>
      <w:r>
        <w:rPr>
          <w:rStyle w:val="a7"/>
          <w:rFonts w:hAnsi="ＭＳ 明朝"/>
          <w:sz w:val="16"/>
          <w:szCs w:val="16"/>
        </w:rPr>
        <w:endnoteReference w:id="50"/>
      </w:r>
    </w:p>
    <w:p>
      <w:pPr>
        <w:rPr>
          <w:rFonts w:hAnsi="ＭＳ 明朝"/>
          <w:sz w:val="16"/>
          <w:szCs w:val="16"/>
        </w:rPr>
      </w:pPr>
      <w:r>
        <w:rPr>
          <w:rFonts w:hAnsi="ＭＳ 明朝" w:hint="eastAsia"/>
          <w:sz w:val="16"/>
          <w:szCs w:val="16"/>
        </w:rPr>
        <w:t>第 ４ 条（スタート売買金額の算出）</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スタート売買金額は、当事者間に別段の合意がある場合を除き、次の算式により算出した金額によるものとする。</w:t>
      </w:r>
    </w:p>
    <w:p>
      <w:pPr>
        <w:tabs>
          <w:tab w:val="right" w:pos="426"/>
        </w:tabs>
        <w:ind w:left="284"/>
        <w:rPr>
          <w:rFonts w:hAnsi="ＭＳ 明朝"/>
          <w:sz w:val="16"/>
          <w:szCs w:val="16"/>
        </w:rPr>
      </w:pPr>
      <w:r>
        <w:rPr>
          <w:rFonts w:hAnsi="ＭＳ 明朝" w:hint="eastAsia"/>
          <w:sz w:val="16"/>
          <w:szCs w:val="16"/>
        </w:rPr>
        <w:t>スタート売買金額＝取引数量×スタート売買単価＋取引数量×スタート取引受渡日における経過利子</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前項にいうスタート売買単価は、当事者間に別段の合意がある場合を除き、次の算式により算出した数値によるものとする。</w:t>
      </w:r>
    </w:p>
    <w:p>
      <w:pPr>
        <w:tabs>
          <w:tab w:val="right" w:pos="426"/>
        </w:tabs>
        <w:ind w:left="284"/>
        <w:rPr>
          <w:rFonts w:hAnsi="ＭＳ 明朝"/>
          <w:sz w:val="16"/>
          <w:szCs w:val="16"/>
        </w:rPr>
      </w:pPr>
      <w:r>
        <w:rPr>
          <w:rFonts w:hAnsi="ＭＳ 明朝" w:hint="eastAsia"/>
          <w:sz w:val="16"/>
          <w:szCs w:val="16"/>
        </w:rPr>
        <w:t>スタート売買単価＝（取引成立時点の取引対象債券等の時価＋スタート取引受渡日における経過利子）÷（１＋売買金額算出比率）－スタート取引受渡日における経過利子</w:t>
      </w:r>
    </w:p>
    <w:p>
      <w:pPr>
        <w:rPr>
          <w:rFonts w:hAnsi="ＭＳ 明朝"/>
          <w:sz w:val="16"/>
          <w:szCs w:val="16"/>
        </w:rPr>
      </w:pPr>
      <w:r>
        <w:rPr>
          <w:rFonts w:hAnsi="ＭＳ 明朝" w:hint="eastAsia"/>
          <w:sz w:val="16"/>
          <w:szCs w:val="16"/>
        </w:rPr>
        <w:t>第 ５ 条（エンド売買金額の算出）</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エンド売買金額は、当事者間に別段の合意がある場合を除き、次の算式により算出した金額によるものとする。</w:t>
      </w:r>
    </w:p>
    <w:p>
      <w:pPr>
        <w:tabs>
          <w:tab w:val="right" w:pos="426"/>
        </w:tabs>
        <w:ind w:left="284"/>
        <w:rPr>
          <w:rFonts w:hAnsi="ＭＳ 明朝"/>
          <w:sz w:val="16"/>
          <w:szCs w:val="16"/>
        </w:rPr>
      </w:pPr>
      <w:r>
        <w:rPr>
          <w:rFonts w:hAnsi="ＭＳ 明朝" w:hint="eastAsia"/>
          <w:sz w:val="16"/>
          <w:szCs w:val="16"/>
        </w:rPr>
        <w:t>エンド売買金額＝取引数量×エンド売買単価＋取引数量×エンド取引受渡日における経過利子</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前項にいうエンド売買単価は、当事者間に別段の合意がある場合を除き、次の算式により算出した数値によるものとする。</w:t>
      </w:r>
    </w:p>
    <w:p>
      <w:pPr>
        <w:pStyle w:val="J6"/>
      </w:pPr>
      <w:r>
        <w:rPr>
          <w:rFonts w:hint="eastAsia"/>
        </w:rPr>
        <w:t>⑴</w:t>
      </w:r>
      <w:r>
        <w:rPr>
          <w:rFonts w:hint="eastAsia"/>
        </w:rPr>
        <w:tab/>
        <w:t>取引期間中に取引対象債券等の収益金支払日が含まれない場合</w:t>
      </w:r>
    </w:p>
    <w:p>
      <w:pPr>
        <w:pStyle w:val="J6"/>
        <w:tabs>
          <w:tab w:val="clear" w:pos="320"/>
          <w:tab w:val="clear" w:pos="480"/>
          <w:tab w:val="left" w:pos="-2835"/>
        </w:tabs>
        <w:ind w:left="454" w:firstLine="0"/>
      </w:pPr>
      <w:r>
        <w:rPr>
          <w:rFonts w:hint="eastAsia"/>
          <w:spacing w:val="-2"/>
        </w:rPr>
        <w:t>エンド売買単価＝（スタート売買単価＋スタート取引受渡日における経過利子）＋現先レート×（スタート売買単価×約定期</w:t>
      </w:r>
      <w:r>
        <w:rPr>
          <w:rFonts w:hint="eastAsia"/>
        </w:rPr>
        <w:t>間＋スタート取引受渡日時点の経過利子×約定期間）÷365－エンド取引受渡日における経過利子</w:t>
      </w:r>
    </w:p>
    <w:p>
      <w:pPr>
        <w:pStyle w:val="J6"/>
        <w:tabs>
          <w:tab w:val="clear" w:pos="320"/>
          <w:tab w:val="clear" w:pos="480"/>
          <w:tab w:val="left" w:pos="-2835"/>
        </w:tabs>
        <w:ind w:left="454" w:firstLine="0"/>
      </w:pPr>
      <w:r>
        <w:rPr>
          <w:rFonts w:hint="eastAsia"/>
        </w:rPr>
        <w:t>ただし、「÷365」は、当事者間の合意により、「÷360」とすることができるものとする（次号において同じ。）。</w:t>
      </w:r>
    </w:p>
    <w:p>
      <w:pPr>
        <w:tabs>
          <w:tab w:val="right" w:pos="709"/>
        </w:tabs>
        <w:ind w:left="488" w:hanging="329"/>
        <w:rPr>
          <w:sz w:val="16"/>
        </w:rPr>
      </w:pPr>
      <w:r>
        <w:rPr>
          <w:rFonts w:hint="eastAsia"/>
          <w:sz w:val="16"/>
        </w:rPr>
        <w:t>⑵</w:t>
      </w:r>
      <w:r>
        <w:rPr>
          <w:rFonts w:hint="eastAsia"/>
          <w:sz w:val="16"/>
        </w:rPr>
        <w:tab/>
        <w:t>取引期間中に取引対象債券等の収益金支払日が含まれる場合</w:t>
      </w:r>
    </w:p>
    <w:p>
      <w:pPr>
        <w:tabs>
          <w:tab w:val="right" w:pos="426"/>
        </w:tabs>
        <w:ind w:left="454"/>
        <w:rPr>
          <w:sz w:val="16"/>
        </w:rPr>
      </w:pPr>
      <w:r>
        <w:rPr>
          <w:rFonts w:hint="eastAsia"/>
          <w:spacing w:val="-2"/>
          <w:sz w:val="16"/>
        </w:rPr>
        <w:t>エンド売買単価＝（スタート売買単価＋スタート取引受渡日における経過利子）＋現先レート×（スタート売買単価×約定</w:t>
      </w:r>
      <w:r>
        <w:rPr>
          <w:rFonts w:hint="eastAsia"/>
          <w:sz w:val="16"/>
        </w:rPr>
        <w:t>期間</w:t>
      </w:r>
      <w:r>
        <w:rPr>
          <w:rFonts w:ascii="Times New Roman" w:hAnsi="Times New Roman" w:hint="eastAsia"/>
          <w:sz w:val="16"/>
        </w:rPr>
        <w:t>＋</w:t>
      </w:r>
      <w:r>
        <w:rPr>
          <w:rFonts w:hint="eastAsia"/>
          <w:sz w:val="16"/>
        </w:rPr>
        <w:t>スタート取引受渡日における経過利子×収益金が支払われる日までの期間）÷365－エンド取引受渡日における経過利子－収益金が支払われる日に支払われる額面100％当たり収益金</w:t>
      </w:r>
    </w:p>
    <w:p>
      <w:pPr>
        <w:tabs>
          <w:tab w:val="right" w:pos="426"/>
        </w:tabs>
        <w:ind w:left="454"/>
        <w:rPr>
          <w:rFonts w:hAnsi="ＭＳ 明朝"/>
        </w:rPr>
      </w:pPr>
      <w:r>
        <w:rPr>
          <w:rFonts w:hint="eastAsia"/>
          <w:sz w:val="16"/>
        </w:rPr>
        <w:t>ただし、収益金が支払われる日までの期間とは、スタート取引受渡日（当日を含まない。）から収益金が支払われる日（当日を含む。）までの期間中の実日数をいう。</w:t>
      </w:r>
    </w:p>
    <w:p>
      <w:pPr>
        <w:rPr>
          <w:rFonts w:hAnsi="ＭＳ 明朝"/>
          <w:sz w:val="16"/>
          <w:szCs w:val="16"/>
        </w:rPr>
      </w:pPr>
      <w:r>
        <w:rPr>
          <w:rFonts w:hAnsi="ＭＳ 明朝" w:hint="eastAsia"/>
          <w:sz w:val="16"/>
          <w:szCs w:val="16"/>
        </w:rPr>
        <w:t>第 ６ 条（担保の管理等）</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７条第３項に定める通知は、当事者間に別段の合意がある場合を除き、午前10時（日本時間。以下同じ。）までに行うものとする。当該通知を受けた当事者は、①当該通知の内容について異議がある場合にはその旨を、②当該通知の内容について異議がない場合には、当該通知に従って移転する担保に係る次の各号に掲げる事項を、当該通知を行った当事者に対して、当事者間に別段の合意がある場合を除き、当該通知日の正午（午前12時）までに通知し、確認するものとする。当該時限までに、当該通知を受けた当事者による通知がなされなかった場合、当該通知を受けた当事者は異議がないものとみなす。当該通知を受けた当事者は、異議がない場合又は異議がないとみなされた場合、通知を受けた額と同額又は同価値の担保の移転をするものとする。</w:t>
      </w:r>
    </w:p>
    <w:p>
      <w:pPr>
        <w:tabs>
          <w:tab w:val="right" w:pos="567"/>
        </w:tabs>
        <w:ind w:left="426" w:hanging="284"/>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担保の差入者の名称</w:t>
      </w:r>
    </w:p>
    <w:p>
      <w:pPr>
        <w:tabs>
          <w:tab w:val="right" w:pos="567"/>
        </w:tabs>
        <w:ind w:left="426" w:hanging="284"/>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担保の受領者の名称</w:t>
      </w:r>
    </w:p>
    <w:p>
      <w:pPr>
        <w:tabs>
          <w:tab w:val="right" w:pos="567"/>
        </w:tabs>
        <w:ind w:left="426" w:hanging="284"/>
        <w:rPr>
          <w:rFonts w:hAnsi="ＭＳ 明朝"/>
          <w:sz w:val="16"/>
          <w:szCs w:val="16"/>
        </w:rPr>
      </w:pPr>
      <w:r>
        <w:rPr>
          <w:rFonts w:hAnsi="ＭＳ 明朝" w:hint="eastAsia"/>
          <w:sz w:val="16"/>
          <w:szCs w:val="16"/>
        </w:rPr>
        <w:t>⑶</w:t>
      </w:r>
      <w:r>
        <w:rPr>
          <w:rFonts w:hAnsi="ＭＳ 明朝"/>
          <w:sz w:val="16"/>
          <w:szCs w:val="16"/>
        </w:rPr>
        <w:tab/>
      </w:r>
      <w:r>
        <w:rPr>
          <w:rFonts w:hAnsi="ＭＳ 明朝" w:hint="eastAsia"/>
          <w:sz w:val="16"/>
          <w:szCs w:val="16"/>
        </w:rPr>
        <w:t>担保の現金、有価証券の別</w:t>
      </w:r>
    </w:p>
    <w:p>
      <w:pPr>
        <w:tabs>
          <w:tab w:val="right" w:pos="567"/>
        </w:tabs>
        <w:ind w:left="426" w:hanging="284"/>
        <w:rPr>
          <w:rFonts w:hAnsi="ＭＳ 明朝"/>
          <w:sz w:val="16"/>
          <w:szCs w:val="16"/>
        </w:rPr>
      </w:pPr>
      <w:r>
        <w:rPr>
          <w:rFonts w:hAnsi="ＭＳ 明朝" w:hint="eastAsia"/>
          <w:sz w:val="16"/>
          <w:szCs w:val="16"/>
        </w:rPr>
        <w:lastRenderedPageBreak/>
        <w:t>⑷</w:t>
      </w:r>
      <w:r>
        <w:rPr>
          <w:rFonts w:hAnsi="ＭＳ 明朝"/>
          <w:sz w:val="16"/>
          <w:szCs w:val="16"/>
        </w:rPr>
        <w:tab/>
      </w:r>
      <w:r>
        <w:rPr>
          <w:rFonts w:hAnsi="ＭＳ 明朝" w:hint="eastAsia"/>
          <w:sz w:val="16"/>
          <w:szCs w:val="16"/>
        </w:rPr>
        <w:t>担保金の金額（担保が現金の場合。次号において同じ。）</w:t>
      </w:r>
    </w:p>
    <w:p>
      <w:pPr>
        <w:tabs>
          <w:tab w:val="right" w:pos="567"/>
        </w:tabs>
        <w:ind w:left="426" w:hanging="284"/>
        <w:rPr>
          <w:rFonts w:hAnsi="ＭＳ 明朝"/>
          <w:sz w:val="16"/>
          <w:szCs w:val="16"/>
        </w:rPr>
      </w:pPr>
      <w:r>
        <w:rPr>
          <w:rFonts w:hAnsi="ＭＳ 明朝" w:hint="eastAsia"/>
          <w:sz w:val="16"/>
          <w:szCs w:val="16"/>
        </w:rPr>
        <w:t>⑸</w:t>
      </w:r>
      <w:r>
        <w:rPr>
          <w:rFonts w:hAnsi="ＭＳ 明朝"/>
          <w:sz w:val="16"/>
          <w:szCs w:val="16"/>
        </w:rPr>
        <w:tab/>
      </w:r>
      <w:r>
        <w:rPr>
          <w:rFonts w:hAnsi="ＭＳ 明朝" w:hint="eastAsia"/>
          <w:sz w:val="16"/>
          <w:szCs w:val="16"/>
        </w:rPr>
        <w:t>担保金利率</w:t>
      </w:r>
    </w:p>
    <w:p>
      <w:pPr>
        <w:tabs>
          <w:tab w:val="right" w:pos="567"/>
        </w:tabs>
        <w:ind w:left="426" w:hanging="284"/>
        <w:rPr>
          <w:rFonts w:hAnsi="ＭＳ 明朝"/>
          <w:sz w:val="16"/>
          <w:szCs w:val="16"/>
        </w:rPr>
      </w:pPr>
      <w:r>
        <w:rPr>
          <w:rFonts w:hAnsi="ＭＳ 明朝" w:hint="eastAsia"/>
          <w:sz w:val="16"/>
          <w:szCs w:val="16"/>
        </w:rPr>
        <w:t>⑹</w:t>
      </w:r>
      <w:r>
        <w:rPr>
          <w:rFonts w:hAnsi="ＭＳ 明朝"/>
          <w:sz w:val="16"/>
          <w:szCs w:val="16"/>
        </w:rPr>
        <w:tab/>
      </w:r>
      <w:r>
        <w:rPr>
          <w:rFonts w:hAnsi="ＭＳ 明朝" w:hint="eastAsia"/>
          <w:sz w:val="16"/>
          <w:szCs w:val="16"/>
        </w:rPr>
        <w:t>担保証券の銘柄（担保が有価証券の場合。次二号において同じ。）</w:t>
      </w:r>
    </w:p>
    <w:p>
      <w:pPr>
        <w:tabs>
          <w:tab w:val="right" w:pos="567"/>
        </w:tabs>
        <w:ind w:left="426" w:hanging="284"/>
        <w:rPr>
          <w:rFonts w:hAnsi="ＭＳ 明朝"/>
          <w:sz w:val="16"/>
          <w:szCs w:val="16"/>
        </w:rPr>
      </w:pPr>
      <w:r>
        <w:rPr>
          <w:rFonts w:hAnsi="ＭＳ 明朝" w:hint="eastAsia"/>
          <w:sz w:val="16"/>
          <w:szCs w:val="16"/>
        </w:rPr>
        <w:t>⑺</w:t>
      </w:r>
      <w:r>
        <w:rPr>
          <w:rFonts w:hAnsi="ＭＳ 明朝"/>
          <w:sz w:val="16"/>
          <w:szCs w:val="16"/>
        </w:rPr>
        <w:tab/>
      </w:r>
      <w:r>
        <w:rPr>
          <w:rFonts w:hAnsi="ＭＳ 明朝" w:hint="eastAsia"/>
          <w:sz w:val="16"/>
          <w:szCs w:val="16"/>
        </w:rPr>
        <w:t>担保証券の数量</w:t>
      </w:r>
    </w:p>
    <w:p>
      <w:pPr>
        <w:tabs>
          <w:tab w:val="right" w:pos="567"/>
        </w:tabs>
        <w:ind w:left="426" w:hanging="284"/>
        <w:rPr>
          <w:rFonts w:hAnsi="ＭＳ 明朝"/>
          <w:sz w:val="16"/>
          <w:szCs w:val="16"/>
        </w:rPr>
      </w:pPr>
      <w:r>
        <w:rPr>
          <w:rFonts w:hAnsi="ＭＳ 明朝" w:hint="eastAsia"/>
          <w:sz w:val="16"/>
          <w:szCs w:val="16"/>
        </w:rPr>
        <w:t>⑻</w:t>
      </w:r>
      <w:r>
        <w:rPr>
          <w:rFonts w:hAnsi="ＭＳ 明朝"/>
          <w:sz w:val="16"/>
          <w:szCs w:val="16"/>
        </w:rPr>
        <w:tab/>
      </w:r>
      <w:r>
        <w:rPr>
          <w:rFonts w:hAnsi="ＭＳ 明朝" w:hint="eastAsia"/>
          <w:sz w:val="16"/>
          <w:szCs w:val="16"/>
        </w:rPr>
        <w:t>担保掛目</w:t>
      </w:r>
    </w:p>
    <w:p>
      <w:pPr>
        <w:tabs>
          <w:tab w:val="right" w:pos="567"/>
        </w:tabs>
        <w:ind w:left="426" w:hanging="284"/>
        <w:rPr>
          <w:rFonts w:hAnsi="ＭＳ 明朝"/>
          <w:sz w:val="16"/>
          <w:szCs w:val="16"/>
          <w:shd w:val="pct15" w:color="auto" w:fill="FFFFFF"/>
        </w:rPr>
      </w:pPr>
      <w:r>
        <w:rPr>
          <w:rFonts w:hAnsi="ＭＳ 明朝" w:hint="eastAsia"/>
          <w:sz w:val="16"/>
          <w:szCs w:val="16"/>
        </w:rPr>
        <w:t>⑼</w:t>
      </w:r>
      <w:r>
        <w:rPr>
          <w:rFonts w:hAnsi="ＭＳ 明朝"/>
          <w:sz w:val="16"/>
          <w:szCs w:val="16"/>
        </w:rPr>
        <w:tab/>
      </w:r>
      <w:r>
        <w:rPr>
          <w:rFonts w:hAnsi="ＭＳ 明朝" w:hint="eastAsia"/>
          <w:sz w:val="16"/>
          <w:szCs w:val="16"/>
        </w:rPr>
        <w:t>担保差入期日又は担保返戻期日</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７条第６項の規定にかかわらず、同項に定める第一当事者から同種、同量の担保証券の返戻の請求があった場合、同項に定める第二当事者は、当該同種、同量の担保証券と同等又はそれ以上の時価総額を有する新たな担保証券を差し入れることができるものとする。かかる場合、第二当事者は、当事者間に別段の合意があるときを除き、担保証券の種類に応じて次の各号に定める日に、当該同種、同量の担保証券を返戻するものとする。また返戻と差入れの方法については、当事者間に別段の合意がある場合を除き、市場慣行に従うものとする。</w:t>
      </w:r>
    </w:p>
    <w:p>
      <w:pPr>
        <w:pStyle w:val="J6"/>
        <w:ind w:left="2240" w:hanging="2081"/>
      </w:pPr>
      <w:r>
        <w:rPr>
          <w:rFonts w:hint="eastAsia"/>
        </w:rPr>
        <w:t>⑴</w:t>
      </w:r>
      <w:r>
        <w:rPr>
          <w:rFonts w:hint="eastAsia"/>
        </w:rPr>
        <w:tab/>
      </w:r>
      <w:r>
        <w:rPr>
          <w:rFonts w:hint="eastAsia"/>
        </w:rPr>
        <w:tab/>
      </w:r>
      <w:r>
        <w:rPr>
          <w:rFonts w:hint="eastAsia"/>
          <w:kern w:val="0"/>
          <w:fitText w:val="1600" w:id="1137483520"/>
        </w:rPr>
        <w:t>担保証券が国債の場合</w:t>
      </w:r>
      <w:r>
        <w:rPr>
          <w:rFonts w:hint="eastAsia"/>
          <w:kern w:val="0"/>
        </w:rPr>
        <w:t xml:space="preserve">　新たな担保証券を差し入れた日から２営業日目（差入日を含む。）</w:t>
      </w:r>
    </w:p>
    <w:p>
      <w:pPr>
        <w:pStyle w:val="J6"/>
        <w:ind w:left="2240" w:hanging="2081"/>
      </w:pPr>
      <w:r>
        <w:rPr>
          <w:rFonts w:hint="eastAsia"/>
        </w:rPr>
        <w:t>⑵</w:t>
      </w:r>
      <w:r>
        <w:rPr>
          <w:rFonts w:hint="eastAsia"/>
        </w:rPr>
        <w:tab/>
      </w:r>
      <w:r>
        <w:rPr>
          <w:rFonts w:hint="eastAsia"/>
        </w:rPr>
        <w:tab/>
      </w:r>
      <w:r>
        <w:rPr>
          <w:rFonts w:hAnsi="ＭＳ 明朝" w:hint="eastAsia"/>
          <w:spacing w:val="64"/>
          <w:kern w:val="0"/>
          <w:fitText w:val="1600" w:id="1137483521"/>
        </w:rPr>
        <w:t>⑴</w:t>
      </w:r>
      <w:r>
        <w:rPr>
          <w:rFonts w:hint="eastAsia"/>
          <w:spacing w:val="64"/>
          <w:kern w:val="0"/>
          <w:fitText w:val="1600" w:id="1137483521"/>
        </w:rPr>
        <w:t>以外の場</w:t>
      </w:r>
      <w:r>
        <w:rPr>
          <w:rFonts w:hint="eastAsia"/>
          <w:kern w:val="0"/>
          <w:fitText w:val="1600" w:id="1137483521"/>
        </w:rPr>
        <w:t>合</w:t>
      </w:r>
      <w:r>
        <w:rPr>
          <w:rFonts w:hint="eastAsia"/>
          <w:kern w:val="0"/>
        </w:rPr>
        <w:t xml:space="preserve">　新たな担保証券を差し入れた日から３営業日目（差入日を含む。）</w:t>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本文第７条第８項に定める担保金利率は、担保金が日本円である場合、当事者間に別段の合意があるときを除き、当事者間に担保金残高のある各日（当該各日の営業終了時点で担保金残高がある日に限る。以下、次項までにおいて「対象日」という。）毎に、[●]</w:t>
      </w:r>
      <w:r>
        <w:rPr>
          <w:rStyle w:val="a7"/>
          <w:rFonts w:hAnsi="ＭＳ 明朝"/>
          <w:sz w:val="16"/>
          <w:szCs w:val="16"/>
        </w:rPr>
        <w:endnoteReference w:id="51"/>
      </w:r>
      <w:r>
        <w:rPr>
          <w:rFonts w:hAnsi="ＭＳ 明朝" w:hint="eastAsia"/>
          <w:sz w:val="16"/>
          <w:szCs w:val="16"/>
        </w:rPr>
        <w:t>とし、当該対象日において受入担保金残高を有する当事者から他方当事者に対する担保金利息の支払時期は当該対象日の属する月の翌月最初の営業日（以下、本項において「担保金利息支払日」という。）とする。</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７条第９項に定める担保金の差入れ若しくは返戻、担保証券の差入れ又は同種、同量の担保証券の返戻を行うべき期限は、当事者間で別段の合意がある場合を除き、担保金については、通知のあった営業日の午後３時、担保証券については、通知のあった営業日の当該担保証券の決済締切時刻として市場慣行となっている時刻とする。</w:t>
      </w:r>
    </w:p>
    <w:p>
      <w:pPr>
        <w:tabs>
          <w:tab w:val="right" w:pos="426"/>
        </w:tabs>
        <w:ind w:left="284" w:hanging="284"/>
        <w:rPr>
          <w:rFonts w:hAnsi="ＭＳ 明朝"/>
          <w:sz w:val="16"/>
          <w:szCs w:val="16"/>
        </w:rPr>
      </w:pPr>
      <w:r>
        <w:rPr>
          <w:rFonts w:hAnsi="ＭＳ 明朝" w:hint="eastAsia"/>
          <w:sz w:val="16"/>
          <w:szCs w:val="16"/>
        </w:rPr>
        <w:t>５</w:t>
      </w:r>
      <w:r>
        <w:rPr>
          <w:rFonts w:hAnsi="ＭＳ 明朝" w:hint="eastAsia"/>
          <w:sz w:val="16"/>
          <w:szCs w:val="16"/>
        </w:rPr>
        <w:tab/>
        <w:t>本文第７条第11項において、請求者による通知は営業日の正午（午前12時）までに行われるものとし、他方当事者は当該通知日の営業終了時までに、当該請求者に対し、申出に対する承諾する又は承諾しない旨の意思表示を行うことができる。</w:t>
      </w:r>
    </w:p>
    <w:p>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t>本文第７条第11項に定める差替日は、当事者間に別段の合意がある場合を除き、同項における通知日から起算して、国債の場合は２営業日目（当該通知日を含む。）、国債以外の債券等の場合は３営業日目（当該通知日を含む。）とする。</w:t>
      </w:r>
    </w:p>
    <w:p>
      <w:pPr>
        <w:tabs>
          <w:tab w:val="right" w:pos="426"/>
        </w:tabs>
        <w:ind w:left="284" w:hanging="284"/>
        <w:rPr>
          <w:rFonts w:hAnsi="ＭＳ 明朝"/>
          <w:sz w:val="16"/>
          <w:szCs w:val="16"/>
        </w:rPr>
      </w:pPr>
      <w:r>
        <w:rPr>
          <w:rFonts w:hAnsi="ＭＳ 明朝" w:hint="eastAsia"/>
          <w:sz w:val="16"/>
          <w:szCs w:val="16"/>
        </w:rPr>
        <w:t>７</w:t>
      </w:r>
      <w:r>
        <w:rPr>
          <w:rFonts w:hAnsi="ＭＳ 明朝" w:hint="eastAsia"/>
          <w:sz w:val="16"/>
          <w:szCs w:val="16"/>
        </w:rPr>
        <w:tab/>
        <w:t>本文第７条第11項後段の規定にかかわらず、他方当事者が当該申出を承諾した場合には、他方当事者による同種、同量の担保証券の返戻及び請求者による新たな担保証券の差入れの方法については、当事者間に別段の合意があるときを除き、市場慣行に従うものとする。</w:t>
      </w:r>
    </w:p>
    <w:p>
      <w:pPr>
        <w:tabs>
          <w:tab w:val="right" w:pos="426"/>
        </w:tabs>
        <w:ind w:left="284" w:hanging="284"/>
        <w:rPr>
          <w:rFonts w:hAnsi="ＭＳ 明朝"/>
          <w:sz w:val="16"/>
          <w:szCs w:val="16"/>
          <w:shd w:val="pct15" w:color="auto" w:fill="FFFFFF"/>
        </w:rPr>
      </w:pPr>
      <w:r>
        <w:rPr>
          <w:rFonts w:hAnsi="ＭＳ 明朝" w:hint="eastAsia"/>
          <w:sz w:val="16"/>
          <w:szCs w:val="16"/>
        </w:rPr>
        <w:t>８</w:t>
      </w:r>
      <w:r>
        <w:rPr>
          <w:rFonts w:hAnsi="ＭＳ 明朝" w:hint="eastAsia"/>
          <w:sz w:val="16"/>
          <w:szCs w:val="16"/>
        </w:rPr>
        <w:tab/>
        <w:t>本文第７条第12項に定める担保の移転に係る詳細の通知は[本条第１項各号に定める事項を記載した受渡担保明細書の交付により行う。受渡担保明細書は、本条第１項に定める確認後又は本文第７条第11項における新たな担保証券及び同種、同量の担保証券に係る本条第１項各号に定める事項を当事者間で確認した後、遅滞なく、担保の移転を行う当事者から他方当事者に交付されるものとする。/本条第１項各号に定める事項につき当事者が合意する方法により行う。当該通知は、本条第１項に定める確認後又は本文第７条第11項における新たな担保証券及び同種、同量の担保証券に係る本条第１項各号に定める事項を当事者間で確認した後、遅滞なく、担保の移転を行う当事者から他方当事者に行うものとする。]</w:t>
      </w:r>
      <w:r>
        <w:rPr>
          <w:rStyle w:val="a7"/>
          <w:rFonts w:hAnsi="ＭＳ 明朝"/>
          <w:sz w:val="16"/>
          <w:szCs w:val="16"/>
        </w:rPr>
        <w:endnoteReference w:id="52"/>
      </w:r>
      <w:r>
        <w:rPr>
          <w:rFonts w:hAnsi="ＭＳ 明朝" w:hint="eastAsia"/>
          <w:sz w:val="16"/>
          <w:szCs w:val="16"/>
        </w:rPr>
        <w:t xml:space="preserve"> </w:t>
      </w:r>
    </w:p>
    <w:p>
      <w:pPr>
        <w:tabs>
          <w:tab w:val="right" w:pos="426"/>
        </w:tabs>
        <w:ind w:left="284" w:hanging="284"/>
        <w:rPr>
          <w:rFonts w:hAnsi="ＭＳ 明朝"/>
          <w:sz w:val="16"/>
          <w:szCs w:val="16"/>
        </w:rPr>
      </w:pPr>
      <w:r>
        <w:rPr>
          <w:rFonts w:hAnsi="ＭＳ 明朝" w:hint="eastAsia"/>
          <w:sz w:val="16"/>
          <w:szCs w:val="16"/>
        </w:rPr>
        <w:t>９</w:t>
      </w:r>
      <w:r>
        <w:rPr>
          <w:rFonts w:hAnsi="ＭＳ 明朝" w:hint="eastAsia"/>
          <w:sz w:val="16"/>
          <w:szCs w:val="16"/>
        </w:rPr>
        <w:tab/>
        <w:t>本文第７条第13項第７号において、相殺後の額の金銭の支払期限の定めが再評価取引締結時になされなかった場合には、通知のあった営業日の午後３時を支払期限とする。</w:t>
      </w:r>
    </w:p>
    <w:p>
      <w:pPr>
        <w:rPr>
          <w:rFonts w:hAnsi="ＭＳ 明朝"/>
          <w:sz w:val="16"/>
          <w:szCs w:val="16"/>
        </w:rPr>
      </w:pPr>
      <w:r>
        <w:rPr>
          <w:rFonts w:hAnsi="ＭＳ 明朝" w:hint="eastAsia"/>
          <w:sz w:val="16"/>
          <w:szCs w:val="16"/>
        </w:rPr>
        <w:t>第 ７ 条（有価証券からの収益金）</w:t>
      </w:r>
    </w:p>
    <w:p>
      <w:pPr>
        <w:tabs>
          <w:tab w:val="right" w:pos="426"/>
        </w:tabs>
        <w:ind w:left="284" w:firstLineChars="88" w:firstLine="141"/>
        <w:rPr>
          <w:rFonts w:hAnsi="ＭＳ 明朝"/>
          <w:sz w:val="16"/>
          <w:szCs w:val="16"/>
        </w:rPr>
      </w:pPr>
      <w:r>
        <w:rPr>
          <w:rFonts w:hAnsi="ＭＳ 明朝" w:hint="eastAsia"/>
          <w:sz w:val="16"/>
          <w:szCs w:val="16"/>
        </w:rPr>
        <w:t>本文第８条第１項の規定にかかわらず、取引期間中に取引対象債券等の収益金基準日が含まれる場合には、買手が当該取引対象債券等の収益金を受領することができる。当該収益金又はこれに相当する金銭については、売手に支払うこ</w:t>
      </w:r>
      <w:r>
        <w:rPr>
          <w:rFonts w:hAnsi="ＭＳ 明朝" w:hint="eastAsia"/>
          <w:sz w:val="16"/>
          <w:szCs w:val="16"/>
        </w:rPr>
        <w:lastRenderedPageBreak/>
        <w:t>とを要しない。</w:t>
      </w:r>
    </w:p>
    <w:p>
      <w:pPr>
        <w:rPr>
          <w:rFonts w:hAnsi="ＭＳ 明朝"/>
          <w:sz w:val="16"/>
          <w:szCs w:val="16"/>
        </w:rPr>
      </w:pPr>
      <w:r>
        <w:rPr>
          <w:rFonts w:hAnsi="ＭＳ 明朝" w:hint="eastAsia"/>
          <w:sz w:val="16"/>
          <w:szCs w:val="16"/>
        </w:rPr>
        <w:t>第 ８ 条（取引対象債券等の差替え）</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10条第１項に定める差替日は、当事者間に別段の合意がある場合を除き、同項における通知日から起算して、国債の場合は２営業日目（当該通知日を含む。）、国債以外の債券等の場合は３営業日目（当該通知日を含む。）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本文第10条第１項に基づき取引対象債券等の差替えを行う場合、新取引対象債券等に係る現先レートは、当初の取引対象債券等に係る個別現先取引で合意された現先レートとする。</w:t>
      </w:r>
    </w:p>
    <w:p>
      <w:pPr>
        <w:rPr>
          <w:rFonts w:hAnsi="ＭＳ 明朝"/>
          <w:sz w:val="16"/>
          <w:szCs w:val="16"/>
        </w:rPr>
      </w:pPr>
      <w:r>
        <w:rPr>
          <w:rFonts w:hAnsi="ＭＳ 明朝" w:hint="eastAsia"/>
          <w:sz w:val="16"/>
          <w:szCs w:val="16"/>
        </w:rPr>
        <w:t>第 ９ 条（その他合意事項）</w:t>
      </w:r>
      <w:r>
        <w:rPr>
          <w:rStyle w:val="a7"/>
          <w:rFonts w:hAnsi="ＭＳ 明朝"/>
          <w:sz w:val="16"/>
          <w:szCs w:val="16"/>
        </w:rPr>
        <w:endnoteReference w:id="53"/>
      </w:r>
    </w:p>
    <w:p>
      <w:pPr>
        <w:pStyle w:val="J3"/>
        <w:rPr>
          <w:rFonts w:hAnsi="ＭＳ 明朝"/>
          <w:color w:val="auto"/>
          <w:shd w:val="pct15" w:color="auto" w:fill="FFFFFF"/>
        </w:rPr>
      </w:pPr>
      <w:r>
        <w:rPr>
          <w:rFonts w:hAnsi="ＭＳ 明朝" w:hint="eastAsia"/>
          <w:color w:val="auto"/>
        </w:rPr>
        <w:t>１</w:t>
      </w:r>
      <w:r>
        <w:rPr>
          <w:rFonts w:hAnsi="ＭＳ 明朝"/>
          <w:color w:val="auto"/>
        </w:rPr>
        <w:tab/>
      </w:r>
      <w:r>
        <w:rPr>
          <w:rFonts w:hAnsi="ＭＳ 明朝" w:hint="eastAsia"/>
          <w:color w:val="auto"/>
        </w:rPr>
        <w:t>第６条第２項、同条第６項及び第８条第１項に定める「２営業日目」は、日本における国債取引の決済期間につきアウトライト取引の約定日後１営業日における決済（Ｔ＋１決済）への移行が決定された場合における、当該移行後の決済期間が適用される取引以外の取引については、「３営業日目」と読み替えるものとする。</w:t>
      </w:r>
    </w:p>
    <w:p>
      <w:pPr>
        <w:pStyle w:val="J3"/>
        <w:rPr>
          <w:color w:val="auto"/>
        </w:rPr>
      </w:pPr>
      <w:r>
        <w:rPr>
          <w:rFonts w:hAnsi="ＭＳ 明朝" w:hint="eastAsia"/>
          <w:color w:val="auto"/>
        </w:rPr>
        <w:t>２</w:t>
      </w:r>
      <w:r>
        <w:rPr>
          <w:rFonts w:hAnsi="ＭＳ 明朝" w:hint="eastAsia"/>
          <w:color w:val="auto"/>
        </w:rPr>
        <w:tab/>
        <w:t>[本文第２条第13号①ロ又は同号②ロにおける時価総額は、①非債務不履行当事者により任意に選択される、非債務不履行当事者を除いた３社以上の金融商品取引業者、金融商品取引法第33条の２に定める登録を受けた金融機関又は非債務不履行当事者が適当と認めるその他の金融機関等から提示される時価より、最高値と最低値のそれぞれ１社分を除いた残りの値（複数ある場合はそれらの単純平均値）に基づき、非債務不履行当事者が計算するものとし、②３社以上の当該金融機関等より時価が提示されなかった場合、非債務不履行当事者が合理的に計算するものとする。]</w:t>
      </w:r>
      <w:r>
        <w:rPr>
          <w:rStyle w:val="a7"/>
          <w:rFonts w:hAnsi="ＭＳ 明朝"/>
          <w:color w:val="auto"/>
        </w:rPr>
        <w:endnoteReference w:id="54"/>
      </w:r>
      <w:r>
        <w:rPr>
          <w:rFonts w:hint="eastAsia"/>
          <w:color w:val="auto"/>
        </w:rPr>
        <w:t>ただし、本文第11条第４項が適用される場合、本項の規定は適用しない。</w:t>
      </w:r>
    </w:p>
    <w:p>
      <w:pPr>
        <w:pStyle w:val="J3"/>
        <w:rPr>
          <w:color w:val="auto"/>
        </w:rPr>
      </w:pPr>
    </w:p>
    <w:p>
      <w:pPr>
        <w:pStyle w:val="J3"/>
        <w:rPr>
          <w:color w:val="auto"/>
        </w:rPr>
      </w:pPr>
    </w:p>
    <w:p>
      <w:pPr>
        <w:pStyle w:val="J3"/>
        <w:jc w:val="center"/>
        <w:rPr>
          <w:color w:val="auto"/>
          <w:sz w:val="20"/>
        </w:rPr>
      </w:pPr>
      <w:r>
        <w:rPr>
          <w:color w:val="auto"/>
          <w:sz w:val="20"/>
        </w:rPr>
        <w:br w:type="page"/>
      </w:r>
      <w:r>
        <w:rPr>
          <w:rFonts w:hint="eastAsia"/>
          <w:color w:val="auto"/>
          <w:sz w:val="20"/>
        </w:rPr>
        <w:lastRenderedPageBreak/>
        <w:t>別紙５</w:t>
      </w:r>
    </w:p>
    <w:p>
      <w:pPr>
        <w:pStyle w:val="J3"/>
        <w:jc w:val="center"/>
        <w:rPr>
          <w:color w:val="auto"/>
        </w:rPr>
      </w:pPr>
      <w:r>
        <w:rPr>
          <w:rFonts w:hint="eastAsia"/>
          <w:color w:val="auto"/>
          <w:sz w:val="20"/>
        </w:rPr>
        <w:t>短期社債等の現先取引に関する合意事項</w:t>
      </w:r>
    </w:p>
    <w:p>
      <w:pPr>
        <w:pStyle w:val="J3"/>
        <w:rPr>
          <w:color w:val="auto"/>
        </w:rPr>
      </w:pPr>
    </w:p>
    <w:p>
      <w:pPr>
        <w:pStyle w:val="J3"/>
        <w:ind w:left="0" w:firstLine="0"/>
        <w:rPr>
          <w:rFonts w:hAnsi="ＭＳ 明朝"/>
          <w:color w:val="auto"/>
        </w:rPr>
      </w:pPr>
      <w:r>
        <w:rPr>
          <w:rFonts w:hAnsi="ＭＳ 明朝" w:hint="eastAsia"/>
          <w:color w:val="auto"/>
        </w:rPr>
        <w:t>第 １ 条（適用）</w:t>
      </w:r>
    </w:p>
    <w:p>
      <w:pPr>
        <w:tabs>
          <w:tab w:val="right" w:pos="426"/>
        </w:tabs>
        <w:ind w:left="284" w:hanging="284"/>
        <w:rPr>
          <w:sz w:val="16"/>
        </w:rPr>
      </w:pPr>
      <w:r>
        <w:rPr>
          <w:rFonts w:hAnsi="ＭＳ 明朝" w:hint="eastAsia"/>
          <w:sz w:val="16"/>
          <w:szCs w:val="16"/>
        </w:rPr>
        <w:t>１</w:t>
      </w:r>
      <w:r>
        <w:rPr>
          <w:rFonts w:hAnsi="ＭＳ 明朝" w:hint="eastAsia"/>
          <w:sz w:val="16"/>
          <w:szCs w:val="16"/>
        </w:rPr>
        <w:tab/>
      </w:r>
      <w:r>
        <w:rPr>
          <w:rFonts w:hint="eastAsia"/>
          <w:sz w:val="16"/>
        </w:rPr>
        <w:t>甲と乙との間で行われる個別現先取引のうち、短期社債等を取引対象債券等とするものについては、本別紙５が適用されるものとする。</w:t>
      </w:r>
    </w:p>
    <w:p>
      <w:pPr>
        <w:tabs>
          <w:tab w:val="right" w:pos="426"/>
        </w:tabs>
        <w:ind w:left="284" w:hanging="284"/>
        <w:rPr>
          <w:rFonts w:hAnsi="ＭＳ 明朝"/>
          <w:sz w:val="16"/>
          <w:szCs w:val="16"/>
        </w:rPr>
      </w:pPr>
      <w:r>
        <w:rPr>
          <w:rFonts w:hint="eastAsia"/>
          <w:sz w:val="16"/>
        </w:rPr>
        <w:t>２</w:t>
      </w:r>
      <w:r>
        <w:rPr>
          <w:rFonts w:hint="eastAsia"/>
          <w:sz w:val="16"/>
        </w:rPr>
        <w:tab/>
        <w:t>本別紙５の適用を受ける個別現先取引について、次の各号に掲げる用語の定義は、本文第２条の規定にかかわらず当該各号に定めるところによる。</w:t>
      </w:r>
    </w:p>
    <w:p>
      <w:pPr>
        <w:pStyle w:val="J6"/>
        <w:tabs>
          <w:tab w:val="clear" w:pos="320"/>
          <w:tab w:val="left" w:pos="2268"/>
        </w:tabs>
        <w:ind w:left="2268" w:hanging="2108"/>
      </w:pPr>
      <w:r>
        <w:rPr>
          <w:rFonts w:hint="eastAsia"/>
        </w:rPr>
        <w:t>⑴</w:t>
      </w:r>
      <w:r>
        <w:rPr>
          <w:rFonts w:hint="eastAsia"/>
        </w:rPr>
        <w:tab/>
      </w:r>
      <w:r>
        <w:rPr>
          <w:rFonts w:hint="eastAsia"/>
          <w:spacing w:val="100"/>
          <w:kern w:val="0"/>
          <w:fitText w:val="1600" w:id="1116449793"/>
        </w:rPr>
        <w:t>現先レー</w:t>
      </w:r>
      <w:r>
        <w:rPr>
          <w:rFonts w:hint="eastAsia"/>
          <w:kern w:val="0"/>
          <w:fitText w:val="1600" w:id="1116449793"/>
        </w:rPr>
        <w:t>ト</w:t>
      </w:r>
      <w:r>
        <w:rPr>
          <w:rFonts w:hint="eastAsia"/>
        </w:rPr>
        <w:t xml:space="preserve">　スタート売買単価及びエンド売買単価算定の基準となる料率として、個別現先取引で定めるものをいう。</w:t>
      </w:r>
    </w:p>
    <w:p>
      <w:pPr>
        <w:pStyle w:val="J6"/>
        <w:tabs>
          <w:tab w:val="clear" w:pos="320"/>
          <w:tab w:val="left" w:pos="2268"/>
        </w:tabs>
        <w:ind w:left="2268" w:hanging="2108"/>
      </w:pPr>
      <w:r>
        <w:rPr>
          <w:rFonts w:hint="eastAsia"/>
        </w:rPr>
        <w:t>⑵</w:t>
      </w:r>
      <w:r>
        <w:rPr>
          <w:rFonts w:hint="eastAsia"/>
        </w:rPr>
        <w:tab/>
      </w:r>
      <w:r>
        <w:rPr>
          <w:rFonts w:hint="eastAsia"/>
          <w:spacing w:val="640"/>
          <w:kern w:val="0"/>
          <w:fitText w:val="1600" w:id="1116410624"/>
        </w:rPr>
        <w:t>時</w:t>
      </w:r>
      <w:r>
        <w:rPr>
          <w:rFonts w:hint="eastAsia"/>
          <w:kern w:val="0"/>
          <w:fitText w:val="1600" w:id="1116410624"/>
        </w:rPr>
        <w:t>価</w:t>
      </w:r>
      <w:r>
        <w:rPr>
          <w:rFonts w:hint="eastAsia"/>
        </w:rPr>
        <w:t xml:space="preserve">　個別</w:t>
      </w:r>
      <w:r>
        <w:rPr>
          <w:rFonts w:hAnsi="ＭＳ 明朝" w:hint="eastAsia"/>
        </w:rPr>
        <w:t>有価</w:t>
      </w:r>
      <w:r>
        <w:rPr>
          <w:rFonts w:hint="eastAsia"/>
        </w:rPr>
        <w:t>証券についての額面</w:t>
      </w:r>
      <w:r>
        <w:t>100</w:t>
      </w:r>
      <w:r>
        <w:rPr>
          <w:rFonts w:hint="eastAsia"/>
        </w:rPr>
        <w:t>％当たりの市場価格に基づく価額割合又は合理的に算定された価額割合をいう。</w:t>
      </w:r>
    </w:p>
    <w:p>
      <w:pPr>
        <w:pStyle w:val="J6"/>
        <w:ind w:left="2240" w:hanging="2081"/>
      </w:pPr>
      <w:r>
        <w:rPr>
          <w:rFonts w:hint="eastAsia"/>
        </w:rPr>
        <w:t>⑶</w:t>
      </w:r>
      <w:r>
        <w:rPr>
          <w:rFonts w:hint="eastAsia"/>
        </w:rPr>
        <w:tab/>
      </w:r>
      <w:r>
        <w:rPr>
          <w:rFonts w:hint="eastAsia"/>
        </w:rPr>
        <w:tab/>
      </w:r>
      <w:r>
        <w:rPr>
          <w:rFonts w:hint="eastAsia"/>
          <w:spacing w:val="160"/>
          <w:kern w:val="0"/>
          <w:fitText w:val="1600" w:id="1116410625"/>
        </w:rPr>
        <w:t>時価総</w:t>
      </w:r>
      <w:r>
        <w:rPr>
          <w:rFonts w:hint="eastAsia"/>
          <w:kern w:val="0"/>
          <w:fitText w:val="1600" w:id="1116410625"/>
        </w:rPr>
        <w:t>額</w:t>
      </w:r>
      <w:r>
        <w:rPr>
          <w:rFonts w:hint="eastAsia"/>
        </w:rPr>
        <w:t xml:space="preserve">　個別</w:t>
      </w:r>
      <w:r>
        <w:rPr>
          <w:rFonts w:hAnsi="ＭＳ 明朝" w:hint="eastAsia"/>
        </w:rPr>
        <w:t>有価</w:t>
      </w:r>
      <w:r>
        <w:rPr>
          <w:rFonts w:hint="eastAsia"/>
        </w:rPr>
        <w:t>証券についての時価に数量を乗じた価額をいう。</w:t>
      </w:r>
    </w:p>
    <w:p>
      <w:pPr>
        <w:pStyle w:val="J6"/>
        <w:ind w:left="2240" w:hanging="2081"/>
        <w:rPr>
          <w:kern w:val="0"/>
        </w:rPr>
      </w:pPr>
      <w:r>
        <w:rPr>
          <w:rFonts w:hint="eastAsia"/>
        </w:rPr>
        <w:t>⑷</w:t>
      </w:r>
      <w:r>
        <w:rPr>
          <w:rFonts w:hint="eastAsia"/>
        </w:rPr>
        <w:tab/>
      </w:r>
      <w:r>
        <w:rPr>
          <w:rFonts w:hint="eastAsia"/>
        </w:rPr>
        <w:tab/>
      </w:r>
      <w:r>
        <w:rPr>
          <w:rFonts w:hint="eastAsia"/>
          <w:spacing w:val="100"/>
          <w:kern w:val="0"/>
          <w:fitText w:val="1600" w:id="1116448768"/>
        </w:rPr>
        <w:t>短期社債</w:t>
      </w:r>
      <w:r>
        <w:rPr>
          <w:rFonts w:hint="eastAsia"/>
          <w:kern w:val="0"/>
          <w:fitText w:val="1600" w:id="1116448768"/>
        </w:rPr>
        <w:t>等</w:t>
      </w:r>
      <w:r>
        <w:rPr>
          <w:rFonts w:hint="eastAsia"/>
          <w:kern w:val="0"/>
        </w:rPr>
        <w:t xml:space="preserve">　株式会社証券保管振替機構の短期社債振替制度において取り扱われる短期社債等をいう。</w:t>
      </w:r>
    </w:p>
    <w:p>
      <w:pPr>
        <w:pStyle w:val="J6"/>
        <w:ind w:left="2240" w:hanging="2081"/>
      </w:pPr>
      <w:r>
        <w:rPr>
          <w:rFonts w:hAnsi="ＭＳ 明朝" w:hint="eastAsia"/>
        </w:rPr>
        <w:t>⑸</w:t>
      </w:r>
      <w:r>
        <w:rPr>
          <w:rFonts w:hint="eastAsia"/>
        </w:rPr>
        <w:tab/>
      </w:r>
      <w:r>
        <w:rPr>
          <w:rFonts w:hint="eastAsia"/>
          <w:kern w:val="0"/>
        </w:rPr>
        <w:tab/>
      </w:r>
      <w:r>
        <w:rPr>
          <w:rFonts w:hint="eastAsia"/>
          <w:spacing w:val="100"/>
          <w:kern w:val="0"/>
          <w:fitText w:val="1600" w:id="1116449792"/>
        </w:rPr>
        <w:t>同種、同</w:t>
      </w:r>
      <w:r>
        <w:rPr>
          <w:rFonts w:hint="eastAsia"/>
          <w:kern w:val="0"/>
          <w:fitText w:val="1600" w:id="1116449792"/>
        </w:rPr>
        <w:t>量</w:t>
      </w:r>
      <w:r>
        <w:rPr>
          <w:rFonts w:hint="eastAsia"/>
        </w:rPr>
        <w:t xml:space="preserve">　個別の短期社債等が、他の短期社債等と①同一の発行体かつ同一の発行回号であり、②（別途定めのない限り）同一の種類及び数量であり、かつ③同一の課税条件である場合をいう。</w:t>
      </w:r>
    </w:p>
    <w:p>
      <w:pPr>
        <w:pStyle w:val="J6"/>
        <w:ind w:left="2240" w:hanging="2081"/>
      </w:pPr>
      <w:r>
        <w:rPr>
          <w:rFonts w:hAnsi="ＭＳ 明朝" w:hint="eastAsia"/>
        </w:rPr>
        <w:t>⑹</w:t>
      </w:r>
      <w:r>
        <w:rPr>
          <w:rFonts w:hAnsi="ＭＳ 明朝" w:hint="eastAsia"/>
        </w:rPr>
        <w:tab/>
      </w:r>
      <w:r>
        <w:rPr>
          <w:rFonts w:hint="eastAsia"/>
        </w:rPr>
        <w:tab/>
      </w:r>
      <w:r>
        <w:rPr>
          <w:rFonts w:hint="eastAsia"/>
          <w:spacing w:val="160"/>
          <w:kern w:val="0"/>
          <w:fitText w:val="1600" w:id="1116410626"/>
        </w:rPr>
        <w:t>売買金</w:t>
      </w:r>
      <w:r>
        <w:rPr>
          <w:rFonts w:hint="eastAsia"/>
          <w:kern w:val="0"/>
          <w:fitText w:val="1600" w:id="1116410626"/>
        </w:rPr>
        <w:t>額</w:t>
      </w:r>
      <w:r>
        <w:rPr>
          <w:rFonts w:hint="eastAsia"/>
        </w:rPr>
        <w:t xml:space="preserve">　債券等についての売買単価に数量を乗じた価額をいう。</w:t>
      </w:r>
    </w:p>
    <w:p>
      <w:pPr>
        <w:pStyle w:val="J6"/>
        <w:ind w:left="2240" w:hanging="2081"/>
      </w:pPr>
    </w:p>
    <w:p>
      <w:pPr>
        <w:rPr>
          <w:rFonts w:hAnsi="ＭＳ 明朝"/>
          <w:sz w:val="16"/>
          <w:szCs w:val="16"/>
        </w:rPr>
      </w:pPr>
      <w:r>
        <w:rPr>
          <w:rFonts w:hAnsi="ＭＳ 明朝" w:hint="eastAsia"/>
          <w:sz w:val="16"/>
          <w:szCs w:val="16"/>
        </w:rPr>
        <w:t>第 ２ 条（本文第２条に規定する定義に関する合意）</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本文第２条第27号に定義する対顧客電信買相場は、[●／当事者間での合意によるもの]</w:t>
      </w:r>
      <w:r>
        <w:rPr>
          <w:rStyle w:val="a7"/>
          <w:rFonts w:hAnsi="ＭＳ 明朝"/>
          <w:sz w:val="16"/>
          <w:szCs w:val="16"/>
        </w:rPr>
        <w:endnoteReference w:id="55"/>
      </w:r>
      <w:r>
        <w:rPr>
          <w:rFonts w:hAnsi="ＭＳ 明朝" w:hint="eastAsia"/>
          <w:sz w:val="16"/>
          <w:szCs w:val="16"/>
        </w:rPr>
        <w:t>とする。</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本文第２条第29号に定義する担保掛目は、当事者間に別段の合意がある場合を除き、100％とする。</w:t>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本文第２条第33号に定義する担保証券は、[国債（国庫短期証券を含む。）[、●、]及び担保の差入れにあたって両当事者が合意するその他の有価証券]</w:t>
      </w:r>
      <w:r>
        <w:rPr>
          <w:rStyle w:val="a7"/>
          <w:rFonts w:hAnsi="ＭＳ 明朝"/>
          <w:sz w:val="16"/>
          <w:szCs w:val="16"/>
        </w:rPr>
        <w:endnoteReference w:id="56"/>
      </w:r>
      <w:r>
        <w:rPr>
          <w:rFonts w:hAnsi="ＭＳ 明朝" w:hint="eastAsia"/>
          <w:sz w:val="16"/>
          <w:szCs w:val="16"/>
        </w:rPr>
        <w:t>とする。</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本文第２条第43号に定義する売買金額算出比率は［●］とする。</w:t>
      </w:r>
    </w:p>
    <w:p>
      <w:pPr>
        <w:rPr>
          <w:rFonts w:hAnsi="ＭＳ 明朝"/>
          <w:sz w:val="16"/>
          <w:szCs w:val="16"/>
        </w:rPr>
      </w:pPr>
      <w:r>
        <w:rPr>
          <w:rFonts w:hAnsi="ＭＳ 明朝" w:hint="eastAsia"/>
          <w:sz w:val="16"/>
          <w:szCs w:val="16"/>
        </w:rPr>
        <w:t>第 ３ 条（個別取引明細書の交付又は個別現先取引内容の確認）</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本文第３条第２項の規定に基づく個別取引明細書の交付又は契約内容の確認は、本条に定めるところに従って行う。</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 [●]</w:t>
      </w:r>
      <w:r>
        <w:rPr>
          <w:rStyle w:val="a7"/>
          <w:rFonts w:hAnsi="ＭＳ 明朝"/>
          <w:sz w:val="16"/>
          <w:szCs w:val="16"/>
        </w:rPr>
        <w:endnoteReference w:id="57"/>
      </w:r>
      <w:r>
        <w:rPr>
          <w:rFonts w:hAnsi="ＭＳ 明朝" w:hint="eastAsia"/>
          <w:sz w:val="16"/>
          <w:szCs w:val="16"/>
        </w:rPr>
        <w:t>（以下、本条において「交付者」という。）は、本文第３条第１項により個別現先取引が成立した場合、［●］（以下、本条において「被交付者」という。）に対し、[速やかに]</w:t>
      </w:r>
      <w:r>
        <w:rPr>
          <w:rStyle w:val="a7"/>
          <w:rFonts w:hAnsi="ＭＳ 明朝"/>
          <w:sz w:val="16"/>
          <w:szCs w:val="16"/>
        </w:rPr>
        <w:endnoteReference w:id="58"/>
      </w:r>
      <w:r>
        <w:rPr>
          <w:rFonts w:hAnsi="ＭＳ 明朝" w:hint="eastAsia"/>
          <w:sz w:val="16"/>
          <w:szCs w:val="16"/>
        </w:rPr>
        <w:t>、本基本契約書に準拠する旨及び次項に定める事項を記載した個別取引明細書を交付する。被交付者は、交付を受けた個別取引明細書を速やかに確認し、契約内容と相違がある場合には直ちに交付者に連絡するものとする。かかる連絡を行わなかった場合、被交付者は個別取引明細書の内容に同意したものとみなす。/両当事者は、本文第３条第１項により個別現先取引が成立した場合、[速やかに]</w:t>
      </w:r>
      <w:r>
        <w:rPr>
          <w:rStyle w:val="a7"/>
          <w:rFonts w:hAnsi="ＭＳ 明朝"/>
          <w:sz w:val="16"/>
          <w:szCs w:val="16"/>
        </w:rPr>
        <w:endnoteReference w:id="59"/>
      </w:r>
      <w:r>
        <w:rPr>
          <w:rFonts w:hAnsi="ＭＳ 明朝" w:hint="eastAsia"/>
          <w:sz w:val="16"/>
          <w:szCs w:val="16"/>
        </w:rPr>
        <w:t>、[●]</w:t>
      </w:r>
      <w:r>
        <w:rPr>
          <w:rStyle w:val="a7"/>
          <w:rFonts w:hAnsi="ＭＳ 明朝"/>
          <w:sz w:val="16"/>
          <w:szCs w:val="16"/>
        </w:rPr>
        <w:endnoteReference w:id="60"/>
      </w:r>
      <w:r>
        <w:rPr>
          <w:rFonts w:hAnsi="ＭＳ 明朝" w:hint="eastAsia"/>
          <w:sz w:val="16"/>
          <w:szCs w:val="16"/>
        </w:rPr>
        <w:t>によって、次項に定める事項を確認するものとする。]</w:t>
      </w:r>
      <w:r>
        <w:rPr>
          <w:rStyle w:val="a7"/>
          <w:rFonts w:hAnsi="ＭＳ 明朝"/>
          <w:sz w:val="16"/>
          <w:szCs w:val="16"/>
        </w:rPr>
        <w:endnoteReference w:id="61"/>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個別取引明細書に記載すべき事項又は確認すべき契約内容は、次の各号に掲げる事項とする。</w:t>
      </w:r>
    </w:p>
    <w:p>
      <w:pPr>
        <w:tabs>
          <w:tab w:val="right" w:pos="567"/>
        </w:tabs>
        <w:ind w:left="426" w:hanging="267"/>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買手及び売手の名称</w:t>
      </w:r>
    </w:p>
    <w:p>
      <w:pPr>
        <w:tabs>
          <w:tab w:val="right" w:pos="567"/>
        </w:tabs>
        <w:ind w:left="426" w:hanging="267"/>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取引対象債券等</w:t>
      </w:r>
    </w:p>
    <w:p>
      <w:pPr>
        <w:tabs>
          <w:tab w:val="right" w:pos="567"/>
        </w:tabs>
        <w:ind w:left="426" w:hanging="267"/>
        <w:rPr>
          <w:rFonts w:hAnsi="ＭＳ 明朝"/>
          <w:sz w:val="16"/>
          <w:szCs w:val="16"/>
          <w:lang w:eastAsia="zh-CN"/>
        </w:rPr>
      </w:pPr>
      <w:r>
        <w:rPr>
          <w:rFonts w:hAnsi="ＭＳ 明朝" w:hint="eastAsia"/>
          <w:sz w:val="16"/>
          <w:szCs w:val="16"/>
          <w:lang w:eastAsia="zh-CN"/>
        </w:rPr>
        <w:t>⑶</w:t>
      </w:r>
      <w:r>
        <w:rPr>
          <w:rFonts w:hAnsi="ＭＳ 明朝"/>
          <w:sz w:val="16"/>
          <w:szCs w:val="16"/>
          <w:lang w:eastAsia="zh-CN"/>
        </w:rPr>
        <w:tab/>
      </w:r>
      <w:r>
        <w:rPr>
          <w:rFonts w:hAnsi="ＭＳ 明朝" w:hint="eastAsia"/>
          <w:sz w:val="16"/>
          <w:szCs w:val="16"/>
          <w:lang w:eastAsia="zh-CN"/>
        </w:rPr>
        <w:t>取引数量</w:t>
      </w:r>
    </w:p>
    <w:p>
      <w:pPr>
        <w:tabs>
          <w:tab w:val="right" w:pos="567"/>
        </w:tabs>
        <w:ind w:left="426" w:hanging="267"/>
        <w:rPr>
          <w:rFonts w:hAnsi="ＭＳ 明朝"/>
          <w:sz w:val="16"/>
          <w:szCs w:val="16"/>
          <w:lang w:eastAsia="zh-CN"/>
        </w:rPr>
      </w:pPr>
      <w:r>
        <w:rPr>
          <w:rFonts w:hAnsi="ＭＳ 明朝" w:hint="eastAsia"/>
          <w:sz w:val="16"/>
          <w:szCs w:val="16"/>
          <w:lang w:eastAsia="zh-CN"/>
        </w:rPr>
        <w:t>⑷</w:t>
      </w:r>
      <w:r>
        <w:rPr>
          <w:rFonts w:hAnsi="ＭＳ 明朝" w:hint="eastAsia"/>
          <w:sz w:val="16"/>
          <w:szCs w:val="16"/>
          <w:lang w:eastAsia="zh-CN"/>
        </w:rPr>
        <w:tab/>
        <w:t>売買金額算出比率</w:t>
      </w:r>
    </w:p>
    <w:p>
      <w:pPr>
        <w:tabs>
          <w:tab w:val="right" w:pos="567"/>
        </w:tabs>
        <w:ind w:left="426" w:hanging="267"/>
        <w:rPr>
          <w:rFonts w:hAnsi="ＭＳ 明朝"/>
          <w:sz w:val="16"/>
          <w:szCs w:val="16"/>
        </w:rPr>
      </w:pPr>
      <w:r>
        <w:rPr>
          <w:rFonts w:hAnsi="ＭＳ 明朝" w:hint="eastAsia"/>
          <w:sz w:val="16"/>
          <w:szCs w:val="16"/>
        </w:rPr>
        <w:t>⑸</w:t>
      </w:r>
      <w:r>
        <w:rPr>
          <w:rFonts w:hAnsi="ＭＳ 明朝"/>
          <w:sz w:val="16"/>
          <w:szCs w:val="16"/>
        </w:rPr>
        <w:tab/>
      </w:r>
      <w:r>
        <w:rPr>
          <w:rFonts w:hAnsi="ＭＳ 明朝" w:hint="eastAsia"/>
          <w:sz w:val="16"/>
          <w:szCs w:val="16"/>
        </w:rPr>
        <w:t>現先レート</w:t>
      </w:r>
    </w:p>
    <w:p>
      <w:pPr>
        <w:tabs>
          <w:tab w:val="right" w:pos="567"/>
        </w:tabs>
        <w:ind w:left="426" w:hanging="267"/>
        <w:rPr>
          <w:rFonts w:hAnsi="ＭＳ 明朝"/>
          <w:sz w:val="16"/>
          <w:szCs w:val="16"/>
        </w:rPr>
      </w:pPr>
      <w:r>
        <w:rPr>
          <w:rFonts w:hAnsi="ＭＳ 明朝" w:hint="eastAsia"/>
          <w:sz w:val="16"/>
          <w:szCs w:val="16"/>
        </w:rPr>
        <w:t>⑹</w:t>
      </w:r>
      <w:r>
        <w:rPr>
          <w:rFonts w:hAnsi="ＭＳ 明朝"/>
          <w:sz w:val="16"/>
          <w:szCs w:val="16"/>
        </w:rPr>
        <w:tab/>
      </w:r>
      <w:r>
        <w:rPr>
          <w:rFonts w:hAnsi="ＭＳ 明朝" w:hint="eastAsia"/>
          <w:sz w:val="16"/>
          <w:szCs w:val="16"/>
        </w:rPr>
        <w:t>取引約定日</w:t>
      </w:r>
    </w:p>
    <w:p>
      <w:pPr>
        <w:tabs>
          <w:tab w:val="right" w:pos="567"/>
        </w:tabs>
        <w:ind w:left="426" w:hanging="267"/>
        <w:rPr>
          <w:rFonts w:hAnsi="ＭＳ 明朝"/>
          <w:sz w:val="16"/>
          <w:szCs w:val="16"/>
        </w:rPr>
      </w:pPr>
      <w:r>
        <w:rPr>
          <w:rFonts w:hAnsi="ＭＳ 明朝" w:hint="eastAsia"/>
          <w:sz w:val="16"/>
          <w:szCs w:val="16"/>
        </w:rPr>
        <w:t>⑺</w:t>
      </w:r>
      <w:r>
        <w:rPr>
          <w:rFonts w:hAnsi="ＭＳ 明朝"/>
          <w:sz w:val="16"/>
          <w:szCs w:val="16"/>
        </w:rPr>
        <w:tab/>
      </w:r>
      <w:r>
        <w:rPr>
          <w:rFonts w:hAnsi="ＭＳ 明朝" w:hint="eastAsia"/>
          <w:sz w:val="16"/>
          <w:szCs w:val="16"/>
        </w:rPr>
        <w:t>スタート取引受渡日</w:t>
      </w:r>
    </w:p>
    <w:p>
      <w:pPr>
        <w:tabs>
          <w:tab w:val="right" w:pos="567"/>
        </w:tabs>
        <w:ind w:left="426" w:hanging="267"/>
        <w:rPr>
          <w:rFonts w:hAnsi="ＭＳ 明朝"/>
          <w:sz w:val="16"/>
          <w:szCs w:val="16"/>
        </w:rPr>
      </w:pPr>
      <w:r>
        <w:rPr>
          <w:rFonts w:hAnsi="ＭＳ 明朝" w:hint="eastAsia"/>
          <w:sz w:val="16"/>
          <w:szCs w:val="16"/>
        </w:rPr>
        <w:t>⑻</w:t>
      </w:r>
      <w:r>
        <w:rPr>
          <w:rFonts w:hAnsi="ＭＳ 明朝"/>
          <w:sz w:val="16"/>
          <w:szCs w:val="16"/>
        </w:rPr>
        <w:tab/>
      </w:r>
      <w:r>
        <w:rPr>
          <w:rFonts w:hAnsi="ＭＳ 明朝" w:hint="eastAsia"/>
          <w:sz w:val="16"/>
          <w:szCs w:val="16"/>
        </w:rPr>
        <w:t>スタート売買単価</w:t>
      </w:r>
    </w:p>
    <w:p>
      <w:pPr>
        <w:tabs>
          <w:tab w:val="right" w:pos="567"/>
        </w:tabs>
        <w:ind w:left="426" w:hanging="267"/>
        <w:rPr>
          <w:rFonts w:hAnsi="ＭＳ 明朝"/>
          <w:sz w:val="16"/>
          <w:szCs w:val="16"/>
        </w:rPr>
      </w:pPr>
      <w:r>
        <w:rPr>
          <w:rFonts w:hAnsi="ＭＳ 明朝" w:hint="eastAsia"/>
          <w:sz w:val="16"/>
          <w:szCs w:val="16"/>
        </w:rPr>
        <w:lastRenderedPageBreak/>
        <w:t>⑼</w:t>
      </w:r>
      <w:r>
        <w:rPr>
          <w:rFonts w:hAnsi="ＭＳ 明朝"/>
          <w:sz w:val="16"/>
          <w:szCs w:val="16"/>
        </w:rPr>
        <w:tab/>
      </w:r>
      <w:r>
        <w:rPr>
          <w:rFonts w:hAnsi="ＭＳ 明朝" w:hint="eastAsia"/>
          <w:sz w:val="16"/>
          <w:szCs w:val="16"/>
        </w:rPr>
        <w:t>スタート売買金額</w:t>
      </w:r>
    </w:p>
    <w:p>
      <w:pPr>
        <w:tabs>
          <w:tab w:val="right" w:pos="567"/>
        </w:tabs>
        <w:ind w:left="426" w:hanging="267"/>
        <w:rPr>
          <w:rFonts w:hAnsi="ＭＳ 明朝"/>
          <w:sz w:val="16"/>
          <w:szCs w:val="16"/>
        </w:rPr>
      </w:pPr>
      <w:r>
        <w:rPr>
          <w:rFonts w:hAnsi="ＭＳ 明朝" w:hint="eastAsia"/>
          <w:sz w:val="16"/>
          <w:szCs w:val="16"/>
        </w:rPr>
        <w:t>⑽</w:t>
      </w:r>
      <w:r>
        <w:rPr>
          <w:rFonts w:hAnsi="ＭＳ 明朝"/>
          <w:sz w:val="16"/>
          <w:szCs w:val="16"/>
        </w:rPr>
        <w:tab/>
      </w:r>
      <w:r>
        <w:rPr>
          <w:rFonts w:hAnsi="ＭＳ 明朝" w:hint="eastAsia"/>
          <w:sz w:val="16"/>
          <w:szCs w:val="16"/>
        </w:rPr>
        <w:t>エンド取引受渡日</w:t>
      </w:r>
    </w:p>
    <w:p>
      <w:pPr>
        <w:tabs>
          <w:tab w:val="right" w:pos="567"/>
        </w:tabs>
        <w:ind w:left="426" w:hanging="267"/>
        <w:rPr>
          <w:rFonts w:hAnsi="ＭＳ 明朝"/>
          <w:sz w:val="16"/>
          <w:szCs w:val="16"/>
        </w:rPr>
      </w:pPr>
      <w:r>
        <w:rPr>
          <w:rFonts w:hAnsi="ＭＳ 明朝" w:hint="eastAsia"/>
          <w:sz w:val="16"/>
          <w:szCs w:val="16"/>
        </w:rPr>
        <w:t>⑾</w:t>
      </w:r>
      <w:r>
        <w:rPr>
          <w:rFonts w:hAnsi="ＭＳ 明朝"/>
          <w:sz w:val="16"/>
          <w:szCs w:val="16"/>
        </w:rPr>
        <w:tab/>
      </w:r>
      <w:r>
        <w:rPr>
          <w:rFonts w:hAnsi="ＭＳ 明朝" w:hint="eastAsia"/>
          <w:sz w:val="16"/>
          <w:szCs w:val="16"/>
        </w:rPr>
        <w:t>エンド売買単価</w:t>
      </w:r>
    </w:p>
    <w:p>
      <w:pPr>
        <w:tabs>
          <w:tab w:val="right" w:pos="567"/>
        </w:tabs>
        <w:ind w:left="426" w:hanging="267"/>
        <w:rPr>
          <w:rFonts w:hAnsi="ＭＳ 明朝"/>
          <w:sz w:val="16"/>
          <w:szCs w:val="16"/>
        </w:rPr>
      </w:pPr>
      <w:r>
        <w:rPr>
          <w:rFonts w:hint="eastAsia"/>
        </w:rPr>
        <w:t>⑿</w:t>
      </w:r>
      <w:r>
        <w:rPr>
          <w:rFonts w:hAnsi="ＭＳ 明朝"/>
          <w:sz w:val="16"/>
          <w:szCs w:val="16"/>
        </w:rPr>
        <w:tab/>
      </w:r>
      <w:r>
        <w:rPr>
          <w:rFonts w:hint="eastAsia"/>
          <w:sz w:val="16"/>
        </w:rPr>
        <w:t>エンド売買金額</w:t>
      </w:r>
    </w:p>
    <w:p>
      <w:pPr>
        <w:tabs>
          <w:tab w:val="right" w:pos="567"/>
        </w:tabs>
        <w:ind w:left="426" w:hanging="267"/>
        <w:rPr>
          <w:rFonts w:hAnsi="ＭＳ 明朝"/>
          <w:sz w:val="14"/>
          <w:szCs w:val="16"/>
        </w:rPr>
      </w:pPr>
      <w:r>
        <w:rPr>
          <w:rFonts w:hint="eastAsia"/>
        </w:rPr>
        <w:t>⒀</w:t>
      </w:r>
      <w:r>
        <w:rPr>
          <w:rFonts w:hint="eastAsia"/>
        </w:rPr>
        <w:tab/>
      </w:r>
      <w:r>
        <w:rPr>
          <w:rFonts w:hAnsi="ＭＳ 明朝" w:hint="eastAsia"/>
          <w:sz w:val="16"/>
          <w:szCs w:val="16"/>
        </w:rPr>
        <w:t>非利含み現先取引である旨</w:t>
      </w:r>
    </w:p>
    <w:p>
      <w:pPr>
        <w:tabs>
          <w:tab w:val="right" w:pos="567"/>
        </w:tabs>
        <w:ind w:left="426" w:hanging="267"/>
        <w:rPr>
          <w:rFonts w:hAnsi="ＭＳ 明朝"/>
          <w:sz w:val="16"/>
          <w:szCs w:val="16"/>
        </w:rPr>
      </w:pPr>
      <w:r>
        <w:rPr>
          <w:rFonts w:hint="eastAsia"/>
        </w:rPr>
        <w:t>⒁</w:t>
      </w:r>
      <w:r>
        <w:rPr>
          <w:rFonts w:hint="eastAsia"/>
        </w:rPr>
        <w:tab/>
      </w:r>
      <w:r>
        <w:rPr>
          <w:rFonts w:hAnsi="ＭＳ 明朝" w:hint="eastAsia"/>
          <w:sz w:val="16"/>
          <w:szCs w:val="16"/>
        </w:rPr>
        <w:t>その他当該個別現先取引について特に定める事項</w:t>
      </w:r>
    </w:p>
    <w:p>
      <w:pPr>
        <w:rPr>
          <w:rFonts w:hAnsi="ＭＳ 明朝"/>
          <w:sz w:val="16"/>
          <w:szCs w:val="16"/>
        </w:rPr>
      </w:pPr>
      <w:r>
        <w:rPr>
          <w:rFonts w:hAnsi="ＭＳ 明朝" w:hint="eastAsia"/>
          <w:sz w:val="16"/>
          <w:szCs w:val="16"/>
        </w:rPr>
        <w:t>第 ４ 条（スタート売買金額の算出）</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スタート売買金額は、当事者間に別段の合意がある場合を除き、次の算式により算出した金額によるものとする。また、スタート売買金額の端数処理は、当事者間に別段の合意がある場合を除き、円未満を切り捨てとする。</w:t>
      </w:r>
    </w:p>
    <w:p>
      <w:pPr>
        <w:tabs>
          <w:tab w:val="right" w:pos="426"/>
        </w:tabs>
        <w:ind w:left="284"/>
        <w:rPr>
          <w:rFonts w:hAnsi="ＭＳ 明朝"/>
          <w:sz w:val="16"/>
          <w:szCs w:val="16"/>
        </w:rPr>
      </w:pPr>
      <w:r>
        <w:rPr>
          <w:rFonts w:hAnsi="ＭＳ 明朝" w:hint="eastAsia"/>
          <w:sz w:val="16"/>
          <w:szCs w:val="16"/>
        </w:rPr>
        <w:t>スタート売買金額＝スタート売買単価×取引数量÷100</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にいうスタート売買単価は、当事者間に別段の合意がある場合を除き、次の算式により算出した数値によるものとする。また、当事者間に別段の合意がある場合を除き、①スタート売買単価の端数処理は小数点以下７桁未満を切り捨てとし、②「残存日数÷365」の端数処理は小数点以下７桁未満を切り捨てとし、③「残存日数」とは、スタート取引受渡日（当日を含む。）から短期社債等の償還日（当日を含まない。）までの間の日数をいう。</w:t>
      </w:r>
    </w:p>
    <w:p>
      <w:pPr>
        <w:tabs>
          <w:tab w:val="right" w:pos="426"/>
        </w:tabs>
        <w:ind w:left="284"/>
        <w:rPr>
          <w:rFonts w:hAnsi="ＭＳ 明朝"/>
          <w:sz w:val="16"/>
          <w:szCs w:val="16"/>
        </w:rPr>
      </w:pPr>
      <w:r>
        <w:rPr>
          <w:rFonts w:hAnsi="ＭＳ 明朝" w:hint="eastAsia"/>
          <w:sz w:val="16"/>
          <w:szCs w:val="16"/>
        </w:rPr>
        <w:t>スタート売買単価＝100÷{100＋現先レート(％)×(残存日数÷365)}×100÷（１＋売買金額算出比率）</w:t>
      </w:r>
    </w:p>
    <w:p>
      <w:pPr>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前二項に定めるスタート売買金額及びスタート売買単価の計算及び端数処理につき、両当事者による計算又は処理結果に齟齬がある場合、両当事者間の合意に基づき取り扱うものとし、合意に至らないときは市場慣行に従って取り扱うものとする。</w:t>
      </w:r>
    </w:p>
    <w:p>
      <w:pPr>
        <w:rPr>
          <w:rFonts w:hAnsi="ＭＳ 明朝"/>
          <w:sz w:val="16"/>
          <w:szCs w:val="16"/>
        </w:rPr>
      </w:pPr>
      <w:r>
        <w:rPr>
          <w:rFonts w:hAnsi="ＭＳ 明朝" w:hint="eastAsia"/>
          <w:sz w:val="16"/>
          <w:szCs w:val="16"/>
        </w:rPr>
        <w:t>第 ５ 条（エンド売買金額の算出）</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エンド売買金額は、当事者間に別段の合意がある場合を除き、次の算式により算出した金額によるものとする。また、エンド売買金額の端数処理は、当事者間に別段の合意がある場合を除き、小数点以下１桁目を切り上げとする（ただし、小数点以下１桁目から３桁目までの数字がすべて零の場合には切り捨てとする。）。</w:t>
      </w:r>
    </w:p>
    <w:p>
      <w:pPr>
        <w:tabs>
          <w:tab w:val="right" w:pos="426"/>
        </w:tabs>
        <w:ind w:left="284"/>
        <w:rPr>
          <w:rFonts w:hAnsi="ＭＳ 明朝"/>
          <w:sz w:val="16"/>
          <w:szCs w:val="16"/>
        </w:rPr>
      </w:pPr>
      <w:r>
        <w:rPr>
          <w:rFonts w:hAnsi="ＭＳ 明朝" w:hint="eastAsia"/>
          <w:sz w:val="16"/>
          <w:szCs w:val="16"/>
        </w:rPr>
        <w:t>エンド売買金額＝エンド売買単価×取引数量÷100</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前項にいうエンド売買単価は、当事者間に別段の合意がある場合を除き、次の算式により算出した数値によるものとする。また、当事者間に別段の合意がある場合を除き、①エンド売買単価の端数処理は小数点以下８桁目を切り上げとし（ただし、小数点以下８桁目から12桁目までの数字がすべて零の場合には切り捨てとする。）、②「1＋現先レート(％)÷100×約定期間÷365」の端数処理は小数点以下14桁目を四捨五入する。</w:t>
      </w:r>
    </w:p>
    <w:p>
      <w:pPr>
        <w:tabs>
          <w:tab w:val="right" w:pos="426"/>
        </w:tabs>
        <w:ind w:left="284"/>
        <w:rPr>
          <w:rFonts w:hAnsi="ＭＳ 明朝"/>
          <w:sz w:val="16"/>
          <w:szCs w:val="16"/>
        </w:rPr>
      </w:pPr>
      <w:r>
        <w:rPr>
          <w:rFonts w:hAnsi="ＭＳ 明朝" w:hint="eastAsia"/>
          <w:sz w:val="16"/>
          <w:szCs w:val="16"/>
        </w:rPr>
        <w:t>エンド売買単価＝スタート売買単価×（1＋現先レート(％)÷100×約定期間÷365）</w:t>
      </w:r>
    </w:p>
    <w:p>
      <w:pPr>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前二項に定めるエンド売買金額及びエンド売買単価の計算及び端数処理につき、両当事者による計算又は処理結果に齟齬がある場合、両当事者間の合意に基づき取り扱うものとし、合意に至らないときは市場慣行に従って取り扱うものとする。</w:t>
      </w:r>
    </w:p>
    <w:p>
      <w:pPr>
        <w:rPr>
          <w:rFonts w:hAnsi="ＭＳ 明朝"/>
          <w:sz w:val="16"/>
          <w:szCs w:val="16"/>
        </w:rPr>
      </w:pPr>
      <w:r>
        <w:rPr>
          <w:rFonts w:hAnsi="ＭＳ 明朝" w:hint="eastAsia"/>
          <w:sz w:val="16"/>
          <w:szCs w:val="16"/>
        </w:rPr>
        <w:t>第 ６ 条（有価証券の引渡し）</w:t>
      </w:r>
    </w:p>
    <w:p>
      <w:pPr>
        <w:tabs>
          <w:tab w:val="right" w:pos="426"/>
        </w:tabs>
        <w:ind w:left="284" w:firstLine="142"/>
        <w:rPr>
          <w:rFonts w:hAnsi="ＭＳ 明朝"/>
          <w:sz w:val="16"/>
          <w:szCs w:val="16"/>
          <w:shd w:val="pct15" w:color="auto" w:fill="FFFFFF"/>
        </w:rPr>
      </w:pPr>
      <w:r>
        <w:rPr>
          <w:rFonts w:hAnsi="ＭＳ 明朝" w:hint="eastAsia"/>
          <w:sz w:val="16"/>
          <w:szCs w:val="16"/>
        </w:rPr>
        <w:t>本文第４条第１項の規定にかかわらず、スタート取引受渡日及びエンド取引受渡日における短期社債等の受渡しは、両当事者間の合意に基づき、市場慣行に従って行うものとする。</w:t>
      </w:r>
    </w:p>
    <w:p>
      <w:pPr>
        <w:rPr>
          <w:rFonts w:hAnsi="ＭＳ 明朝"/>
          <w:sz w:val="16"/>
          <w:szCs w:val="16"/>
        </w:rPr>
      </w:pPr>
      <w:r>
        <w:rPr>
          <w:rFonts w:hAnsi="ＭＳ 明朝" w:hint="eastAsia"/>
          <w:sz w:val="16"/>
          <w:szCs w:val="16"/>
        </w:rPr>
        <w:t>第 ７ 条（担保の管理等）</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７条第３項に定める通知は、当事者間に別段の合意がある場合を除き、午前10時（日本時間。以下同じ。）までに行うものとする。当該通知を受けた当事者は、①当該通知の内容について異議がある場合にはその旨を、②当該通知の内容について異議がない場合には、当該通知に従って移転する担保に係る次の各号に掲げる事項を、当該通知を行った当事者に対して、当事者間に別段の合意がある場合を除き、当該通知日の正午（午前12時）までに通知し、確認するものとする。当該時限までに、当該通知を受けた当事者による通知がなされなかった場合、当該通知を受けた当事者は</w:t>
      </w:r>
      <w:r>
        <w:rPr>
          <w:rFonts w:hAnsi="ＭＳ 明朝" w:hint="eastAsia"/>
          <w:sz w:val="16"/>
          <w:szCs w:val="16"/>
        </w:rPr>
        <w:lastRenderedPageBreak/>
        <w:t>異議がないものとみなす。当該通知を受けた当事者は、異議がない場合又は異議がないとみなされた場合、通知を受けた額と同額又は同価値の担保の移転をするものとする。</w:t>
      </w:r>
    </w:p>
    <w:p>
      <w:pPr>
        <w:tabs>
          <w:tab w:val="right" w:pos="567"/>
        </w:tabs>
        <w:ind w:left="426" w:hanging="284"/>
        <w:rPr>
          <w:rFonts w:hAnsi="ＭＳ 明朝"/>
          <w:sz w:val="16"/>
          <w:szCs w:val="16"/>
        </w:rPr>
      </w:pPr>
      <w:r>
        <w:rPr>
          <w:rFonts w:hAnsi="ＭＳ 明朝" w:hint="eastAsia"/>
          <w:sz w:val="16"/>
          <w:szCs w:val="16"/>
        </w:rPr>
        <w:t>⑴</w:t>
      </w:r>
      <w:r>
        <w:rPr>
          <w:rFonts w:hAnsi="ＭＳ 明朝"/>
          <w:sz w:val="16"/>
          <w:szCs w:val="16"/>
        </w:rPr>
        <w:tab/>
      </w:r>
      <w:r>
        <w:rPr>
          <w:rFonts w:hAnsi="ＭＳ 明朝" w:hint="eastAsia"/>
          <w:sz w:val="16"/>
          <w:szCs w:val="16"/>
        </w:rPr>
        <w:t>担保の差入者の名称</w:t>
      </w:r>
    </w:p>
    <w:p>
      <w:pPr>
        <w:tabs>
          <w:tab w:val="right" w:pos="567"/>
        </w:tabs>
        <w:ind w:left="426" w:hanging="284"/>
        <w:rPr>
          <w:rFonts w:hAnsi="ＭＳ 明朝"/>
          <w:sz w:val="16"/>
          <w:szCs w:val="16"/>
        </w:rPr>
      </w:pPr>
      <w:r>
        <w:rPr>
          <w:rFonts w:hAnsi="ＭＳ 明朝" w:hint="eastAsia"/>
          <w:sz w:val="16"/>
          <w:szCs w:val="16"/>
        </w:rPr>
        <w:t>⑵</w:t>
      </w:r>
      <w:r>
        <w:rPr>
          <w:rFonts w:hAnsi="ＭＳ 明朝"/>
          <w:sz w:val="16"/>
          <w:szCs w:val="16"/>
        </w:rPr>
        <w:tab/>
      </w:r>
      <w:r>
        <w:rPr>
          <w:rFonts w:hAnsi="ＭＳ 明朝" w:hint="eastAsia"/>
          <w:sz w:val="16"/>
          <w:szCs w:val="16"/>
        </w:rPr>
        <w:t>担保の受領者の名称</w:t>
      </w:r>
    </w:p>
    <w:p>
      <w:pPr>
        <w:tabs>
          <w:tab w:val="right" w:pos="567"/>
        </w:tabs>
        <w:ind w:left="426" w:hanging="284"/>
        <w:rPr>
          <w:rFonts w:hAnsi="ＭＳ 明朝"/>
          <w:sz w:val="16"/>
          <w:szCs w:val="16"/>
        </w:rPr>
      </w:pPr>
      <w:r>
        <w:rPr>
          <w:rFonts w:hAnsi="ＭＳ 明朝" w:hint="eastAsia"/>
          <w:sz w:val="16"/>
          <w:szCs w:val="16"/>
        </w:rPr>
        <w:t>⑶</w:t>
      </w:r>
      <w:r>
        <w:rPr>
          <w:rFonts w:hAnsi="ＭＳ 明朝"/>
          <w:sz w:val="16"/>
          <w:szCs w:val="16"/>
        </w:rPr>
        <w:tab/>
      </w:r>
      <w:r>
        <w:rPr>
          <w:rFonts w:hAnsi="ＭＳ 明朝" w:hint="eastAsia"/>
          <w:sz w:val="16"/>
          <w:szCs w:val="16"/>
        </w:rPr>
        <w:t>担保の現金、有価証券の別</w:t>
      </w:r>
    </w:p>
    <w:p>
      <w:pPr>
        <w:tabs>
          <w:tab w:val="right" w:pos="567"/>
        </w:tabs>
        <w:ind w:left="426" w:hanging="284"/>
        <w:rPr>
          <w:rFonts w:hAnsi="ＭＳ 明朝"/>
          <w:sz w:val="16"/>
          <w:szCs w:val="16"/>
        </w:rPr>
      </w:pPr>
      <w:r>
        <w:rPr>
          <w:rFonts w:hAnsi="ＭＳ 明朝" w:hint="eastAsia"/>
          <w:sz w:val="16"/>
          <w:szCs w:val="16"/>
        </w:rPr>
        <w:t>⑷</w:t>
      </w:r>
      <w:r>
        <w:rPr>
          <w:rFonts w:hAnsi="ＭＳ 明朝"/>
          <w:sz w:val="16"/>
          <w:szCs w:val="16"/>
        </w:rPr>
        <w:tab/>
      </w:r>
      <w:r>
        <w:rPr>
          <w:rFonts w:hAnsi="ＭＳ 明朝" w:hint="eastAsia"/>
          <w:sz w:val="16"/>
          <w:szCs w:val="16"/>
        </w:rPr>
        <w:t>担保金の金額（担保が現金の場合。次号において同じ。）</w:t>
      </w:r>
    </w:p>
    <w:p>
      <w:pPr>
        <w:tabs>
          <w:tab w:val="right" w:pos="567"/>
        </w:tabs>
        <w:ind w:left="426" w:hanging="284"/>
        <w:rPr>
          <w:rFonts w:hAnsi="ＭＳ 明朝"/>
          <w:sz w:val="16"/>
          <w:szCs w:val="16"/>
        </w:rPr>
      </w:pPr>
      <w:r>
        <w:rPr>
          <w:rFonts w:hAnsi="ＭＳ 明朝" w:hint="eastAsia"/>
          <w:sz w:val="16"/>
          <w:szCs w:val="16"/>
        </w:rPr>
        <w:t>⑸</w:t>
      </w:r>
      <w:r>
        <w:rPr>
          <w:rFonts w:hAnsi="ＭＳ 明朝"/>
          <w:sz w:val="16"/>
          <w:szCs w:val="16"/>
        </w:rPr>
        <w:tab/>
      </w:r>
      <w:r>
        <w:rPr>
          <w:rFonts w:hAnsi="ＭＳ 明朝" w:hint="eastAsia"/>
          <w:sz w:val="16"/>
          <w:szCs w:val="16"/>
        </w:rPr>
        <w:t>担保金利率</w:t>
      </w:r>
    </w:p>
    <w:p>
      <w:pPr>
        <w:tabs>
          <w:tab w:val="right" w:pos="567"/>
        </w:tabs>
        <w:ind w:left="426" w:hanging="284"/>
        <w:rPr>
          <w:rFonts w:hAnsi="ＭＳ 明朝"/>
          <w:sz w:val="16"/>
          <w:szCs w:val="16"/>
        </w:rPr>
      </w:pPr>
      <w:r>
        <w:rPr>
          <w:rFonts w:hAnsi="ＭＳ 明朝" w:hint="eastAsia"/>
          <w:sz w:val="16"/>
          <w:szCs w:val="16"/>
        </w:rPr>
        <w:t>⑹</w:t>
      </w:r>
      <w:r>
        <w:rPr>
          <w:rFonts w:hAnsi="ＭＳ 明朝"/>
          <w:sz w:val="16"/>
          <w:szCs w:val="16"/>
        </w:rPr>
        <w:tab/>
      </w:r>
      <w:r>
        <w:rPr>
          <w:rFonts w:hAnsi="ＭＳ 明朝" w:hint="eastAsia"/>
          <w:sz w:val="16"/>
          <w:szCs w:val="16"/>
        </w:rPr>
        <w:t>担保証券の銘柄（担保が有価証券の場合。次二号において同じ。）</w:t>
      </w:r>
    </w:p>
    <w:p>
      <w:pPr>
        <w:tabs>
          <w:tab w:val="right" w:pos="567"/>
        </w:tabs>
        <w:ind w:left="426" w:hanging="284"/>
        <w:rPr>
          <w:rFonts w:hAnsi="ＭＳ 明朝"/>
          <w:sz w:val="16"/>
          <w:szCs w:val="16"/>
        </w:rPr>
      </w:pPr>
      <w:r>
        <w:rPr>
          <w:rFonts w:hAnsi="ＭＳ 明朝" w:hint="eastAsia"/>
          <w:sz w:val="16"/>
          <w:szCs w:val="16"/>
        </w:rPr>
        <w:t>⑺</w:t>
      </w:r>
      <w:r>
        <w:rPr>
          <w:rFonts w:hAnsi="ＭＳ 明朝"/>
          <w:sz w:val="16"/>
          <w:szCs w:val="16"/>
        </w:rPr>
        <w:tab/>
      </w:r>
      <w:r>
        <w:rPr>
          <w:rFonts w:hAnsi="ＭＳ 明朝" w:hint="eastAsia"/>
          <w:sz w:val="16"/>
          <w:szCs w:val="16"/>
        </w:rPr>
        <w:t>担保証券の数量</w:t>
      </w:r>
    </w:p>
    <w:p>
      <w:pPr>
        <w:tabs>
          <w:tab w:val="right" w:pos="567"/>
        </w:tabs>
        <w:ind w:left="426" w:hanging="284"/>
        <w:rPr>
          <w:rFonts w:hAnsi="ＭＳ 明朝"/>
          <w:sz w:val="16"/>
          <w:szCs w:val="16"/>
        </w:rPr>
      </w:pPr>
      <w:r>
        <w:rPr>
          <w:rFonts w:hAnsi="ＭＳ 明朝" w:hint="eastAsia"/>
          <w:sz w:val="16"/>
          <w:szCs w:val="16"/>
        </w:rPr>
        <w:t>⑻</w:t>
      </w:r>
      <w:r>
        <w:rPr>
          <w:rFonts w:hAnsi="ＭＳ 明朝"/>
          <w:sz w:val="16"/>
          <w:szCs w:val="16"/>
        </w:rPr>
        <w:tab/>
      </w:r>
      <w:r>
        <w:rPr>
          <w:rFonts w:hAnsi="ＭＳ 明朝" w:hint="eastAsia"/>
          <w:sz w:val="16"/>
          <w:szCs w:val="16"/>
        </w:rPr>
        <w:t>担保掛目</w:t>
      </w:r>
    </w:p>
    <w:p>
      <w:pPr>
        <w:tabs>
          <w:tab w:val="right" w:pos="567"/>
        </w:tabs>
        <w:ind w:left="426" w:hanging="284"/>
        <w:rPr>
          <w:rFonts w:hAnsi="ＭＳ 明朝"/>
          <w:sz w:val="16"/>
          <w:szCs w:val="16"/>
          <w:shd w:val="pct15" w:color="auto" w:fill="FFFFFF"/>
        </w:rPr>
      </w:pPr>
      <w:r>
        <w:rPr>
          <w:rFonts w:hAnsi="ＭＳ 明朝" w:hint="eastAsia"/>
          <w:sz w:val="16"/>
          <w:szCs w:val="16"/>
        </w:rPr>
        <w:t>⑼</w:t>
      </w:r>
      <w:r>
        <w:rPr>
          <w:rFonts w:hAnsi="ＭＳ 明朝"/>
          <w:sz w:val="16"/>
          <w:szCs w:val="16"/>
        </w:rPr>
        <w:tab/>
      </w:r>
      <w:r>
        <w:rPr>
          <w:rFonts w:hAnsi="ＭＳ 明朝" w:hint="eastAsia"/>
          <w:sz w:val="16"/>
          <w:szCs w:val="16"/>
        </w:rPr>
        <w:t>担保差入期日又は担保返戻期日</w:t>
      </w:r>
    </w:p>
    <w:p>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７条第６項の規定にかかわらず、同項に定める第一当事者から同種、同量の担保証券の返戻の請求があった場合、同項に定める第二当事者は、当該同種、同量の担保証券と同等又はそれ以上の時価総額を有する新たな担保証券を差し入れることができるものとする。かかる場合、第二当事者は、当事者間に別段の合意があるときを除き、担保証券の種類に応じて次の各号に定める日に、当該同種、同量の担保証券を返戻するものとする。また返戻と差入れの方法については、当事者間に別段の合意がある場合を除き、市場慣行に従うものとする。</w:t>
      </w:r>
    </w:p>
    <w:p>
      <w:pPr>
        <w:pStyle w:val="J6"/>
        <w:tabs>
          <w:tab w:val="clear" w:pos="320"/>
          <w:tab w:val="clear" w:pos="480"/>
          <w:tab w:val="right" w:pos="567"/>
          <w:tab w:val="left" w:pos="709"/>
        </w:tabs>
        <w:ind w:left="426" w:hanging="284"/>
        <w:rPr>
          <w:kern w:val="0"/>
        </w:rPr>
      </w:pPr>
      <w:r>
        <w:rPr>
          <w:rFonts w:hint="eastAsia"/>
        </w:rPr>
        <w:t>⑴</w:t>
      </w:r>
      <w:r>
        <w:rPr>
          <w:rFonts w:hint="eastAsia"/>
        </w:rPr>
        <w:tab/>
      </w:r>
      <w:r>
        <w:rPr>
          <w:rFonts w:hint="eastAsia"/>
          <w:kern w:val="0"/>
          <w:fitText w:val="1600" w:id="1139537920"/>
        </w:rPr>
        <w:t>担保証券が国債の場合</w:t>
      </w:r>
      <w:r>
        <w:rPr>
          <w:rFonts w:hint="eastAsia"/>
          <w:kern w:val="0"/>
        </w:rPr>
        <w:t xml:space="preserve">　新たな担保証券を差し入れた日から２営業日目（差入日を含む。）</w:t>
      </w:r>
    </w:p>
    <w:p>
      <w:pPr>
        <w:pStyle w:val="J6"/>
        <w:tabs>
          <w:tab w:val="clear" w:pos="320"/>
          <w:tab w:val="clear" w:pos="480"/>
          <w:tab w:val="left" w:pos="426"/>
          <w:tab w:val="right" w:pos="709"/>
        </w:tabs>
        <w:ind w:leftChars="79" w:left="425" w:hangingChars="177" w:hanging="283"/>
      </w:pPr>
      <w:r>
        <w:rPr>
          <w:rFonts w:hint="eastAsia"/>
        </w:rPr>
        <w:t>⑵</w:t>
      </w:r>
      <w:r>
        <w:rPr>
          <w:rFonts w:hint="eastAsia"/>
        </w:rPr>
        <w:tab/>
      </w:r>
      <w:r>
        <w:rPr>
          <w:rFonts w:hAnsi="ＭＳ 明朝" w:hint="eastAsia"/>
          <w:spacing w:val="64"/>
          <w:kern w:val="0"/>
          <w:fitText w:val="1600" w:id="1139537921"/>
        </w:rPr>
        <w:t>⑴</w:t>
      </w:r>
      <w:r>
        <w:rPr>
          <w:rFonts w:hint="eastAsia"/>
          <w:spacing w:val="64"/>
          <w:kern w:val="0"/>
          <w:fitText w:val="1600" w:id="1139537921"/>
        </w:rPr>
        <w:t>以外の場</w:t>
      </w:r>
      <w:r>
        <w:rPr>
          <w:rFonts w:hint="eastAsia"/>
          <w:kern w:val="0"/>
          <w:fitText w:val="1600" w:id="1139537921"/>
        </w:rPr>
        <w:t>合</w:t>
      </w:r>
      <w:r>
        <w:rPr>
          <w:rFonts w:hint="eastAsia"/>
          <w:kern w:val="0"/>
        </w:rPr>
        <w:t xml:space="preserve">　新たな担保証券を差し入れた日から３営業日目（差入日を含む。）</w:t>
      </w:r>
    </w:p>
    <w:p>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t>本文第７条第８項に定める担保金利率は、担保金が日本円である場合、当事者間に別段の合意があるときを除き、当事者間に担保金残高のある各日（当該各日の営業終了時点で担保金残高がある日に限る。以下、次項までにおいて「対象日」という。）毎に、[●]</w:t>
      </w:r>
      <w:r>
        <w:rPr>
          <w:rStyle w:val="a7"/>
          <w:rFonts w:hAnsi="ＭＳ 明朝"/>
          <w:sz w:val="16"/>
          <w:szCs w:val="16"/>
        </w:rPr>
        <w:endnoteReference w:id="62"/>
      </w:r>
      <w:r>
        <w:rPr>
          <w:rFonts w:hAnsi="ＭＳ 明朝" w:hint="eastAsia"/>
          <w:sz w:val="16"/>
          <w:szCs w:val="16"/>
        </w:rPr>
        <w:t>とし、当該対象日において受入担保金残高を有する当事者から他方当事者に対する担保金利息の支払時期は当該対象日の属する月の翌月最初の営業日（以下、本項において「担保金利息支払日」という。）とする。</w:t>
      </w:r>
    </w:p>
    <w:p>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７条第９項に定める担保金の差入れ若しくは返戻、担保証券の差入れ又は同種、同量の担保証券の返戻を行うべき期限は、当事者間に別段の合意がある場合を除き、担保金については、通知のあった営業日の午後３時、担保証券については、通知のあった営業日の当該担保証券の決済締切時刻として市場慣行となっている時刻とする。</w:t>
      </w:r>
    </w:p>
    <w:p>
      <w:pPr>
        <w:tabs>
          <w:tab w:val="right" w:pos="426"/>
        </w:tabs>
        <w:ind w:left="284" w:hanging="284"/>
        <w:rPr>
          <w:rFonts w:hAnsi="ＭＳ 明朝"/>
          <w:sz w:val="16"/>
          <w:szCs w:val="16"/>
        </w:rPr>
      </w:pPr>
      <w:r>
        <w:rPr>
          <w:rFonts w:hAnsi="ＭＳ 明朝" w:hint="eastAsia"/>
          <w:sz w:val="16"/>
          <w:szCs w:val="16"/>
        </w:rPr>
        <w:t>５</w:t>
      </w:r>
      <w:r>
        <w:rPr>
          <w:rFonts w:hAnsi="ＭＳ 明朝" w:hint="eastAsia"/>
          <w:sz w:val="16"/>
          <w:szCs w:val="16"/>
        </w:rPr>
        <w:tab/>
        <w:t>本文第７条第11項において、請求者による通知は営業日の正午（午前12時）までに行われるものとし、他方当事者は当該通知日の営業終了時までに、当該請求者に対し、申出に対する承諾する又は承諾しない旨の意思表示を行うことができる。</w:t>
      </w:r>
    </w:p>
    <w:p>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t>本文第７条第11項に定める差替日は、当事者間に別段の合意がある場合を除き、同項における通知日から起算して、国債の場合は２営業日目（当該通知日を含む。）、国債以外の債券等の場合は３営業日目（当該通知日を含む。）とする。</w:t>
      </w:r>
    </w:p>
    <w:p>
      <w:pPr>
        <w:tabs>
          <w:tab w:val="right" w:pos="426"/>
        </w:tabs>
        <w:ind w:left="284" w:hanging="284"/>
        <w:rPr>
          <w:rFonts w:hAnsi="ＭＳ 明朝"/>
          <w:sz w:val="16"/>
          <w:szCs w:val="16"/>
        </w:rPr>
      </w:pPr>
      <w:r>
        <w:rPr>
          <w:rFonts w:hAnsi="ＭＳ 明朝" w:hint="eastAsia"/>
          <w:sz w:val="16"/>
          <w:szCs w:val="16"/>
        </w:rPr>
        <w:t>７</w:t>
      </w:r>
      <w:r>
        <w:rPr>
          <w:rFonts w:hAnsi="ＭＳ 明朝" w:hint="eastAsia"/>
          <w:sz w:val="16"/>
          <w:szCs w:val="16"/>
        </w:rPr>
        <w:tab/>
        <w:t>本文第７条第11項後段の規定にかかわらず、他方当事者が当該申出を承諾した場合には、他方当事者による同種、同量の担保証券の返戻及び請求者による新たな担保証券の差入れの方法については、当事者間に別段の合意があるときを除き、市場慣行に従うものとする。</w:t>
      </w:r>
    </w:p>
    <w:p>
      <w:pPr>
        <w:tabs>
          <w:tab w:val="right" w:pos="426"/>
        </w:tabs>
        <w:ind w:left="284" w:hanging="284"/>
        <w:rPr>
          <w:rFonts w:hAnsi="ＭＳ 明朝"/>
          <w:sz w:val="16"/>
          <w:szCs w:val="16"/>
        </w:rPr>
      </w:pPr>
      <w:r>
        <w:rPr>
          <w:rFonts w:hAnsi="ＭＳ 明朝" w:hint="eastAsia"/>
          <w:sz w:val="16"/>
          <w:szCs w:val="16"/>
        </w:rPr>
        <w:t>８</w:t>
      </w:r>
      <w:r>
        <w:rPr>
          <w:rFonts w:hAnsi="ＭＳ 明朝" w:hint="eastAsia"/>
          <w:sz w:val="16"/>
          <w:szCs w:val="16"/>
        </w:rPr>
        <w:tab/>
        <w:t>本文第７条第12項に定める担保の移転に係る詳細の通知は[本条第１項各号に定める事項を記載した受渡担保明細書の交付により行う。受渡担保明細書は、本条第１項に定める確認後又は本文第７条第11項における新たな担保証券及び同種、同量の担保証券に係る本条第１項各号に定める事項を当事者間で確認した後、遅滞なく、担保の移転を行う当事者から他方当事者に交付されるものとする。/本条第１項各号に定める事項につき当事者が合意する方法により行う。当該通知は、本条第１項に定める確認後又は本文第７条第11項における新たな担保証券及び同種、同量の担保証券に係る本条第１項各号に定める事項を当事者間で確認した後、遅滞なく、担保の移転を行う当事者から他方当事者に行うものとする。]</w:t>
      </w:r>
      <w:r>
        <w:rPr>
          <w:rStyle w:val="a7"/>
          <w:rFonts w:hAnsi="ＭＳ 明朝"/>
          <w:sz w:val="16"/>
          <w:szCs w:val="16"/>
        </w:rPr>
        <w:endnoteReference w:id="63"/>
      </w:r>
    </w:p>
    <w:p>
      <w:pPr>
        <w:tabs>
          <w:tab w:val="right" w:pos="426"/>
        </w:tabs>
        <w:ind w:left="284" w:firstLineChars="88" w:firstLine="141"/>
        <w:rPr>
          <w:rFonts w:hAnsi="ＭＳ 明朝"/>
          <w:sz w:val="16"/>
          <w:szCs w:val="16"/>
        </w:rPr>
      </w:pPr>
    </w:p>
    <w:p>
      <w:pPr>
        <w:rPr>
          <w:rFonts w:hAnsi="ＭＳ 明朝"/>
          <w:sz w:val="16"/>
          <w:szCs w:val="16"/>
        </w:rPr>
      </w:pPr>
      <w:r>
        <w:rPr>
          <w:rFonts w:hAnsi="ＭＳ 明朝" w:hint="eastAsia"/>
          <w:sz w:val="16"/>
          <w:szCs w:val="16"/>
        </w:rPr>
        <w:t>第 ８ 条（取引対象債券等の差替え）</w:t>
      </w:r>
    </w:p>
    <w:p>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本文第10条第１項に定める差替日は、当事者に別段の合意がある場合を除き、同項における通知日から３営業日目（当該通知日を含む。）とする。</w:t>
      </w:r>
    </w:p>
    <w:p>
      <w:pPr>
        <w:tabs>
          <w:tab w:val="right" w:pos="426"/>
        </w:tabs>
        <w:ind w:left="283" w:hangingChars="177" w:hanging="283"/>
        <w:rPr>
          <w:rFonts w:hAnsi="ＭＳ 明朝"/>
          <w:sz w:val="16"/>
          <w:szCs w:val="16"/>
        </w:rPr>
      </w:pPr>
      <w:r>
        <w:rPr>
          <w:rFonts w:hAnsi="ＭＳ 明朝" w:hint="eastAsia"/>
          <w:sz w:val="16"/>
          <w:szCs w:val="16"/>
        </w:rPr>
        <w:t>２</w:t>
      </w:r>
      <w:r>
        <w:rPr>
          <w:rFonts w:hAnsi="ＭＳ 明朝" w:hint="eastAsia"/>
          <w:sz w:val="16"/>
          <w:szCs w:val="16"/>
        </w:rPr>
        <w:tab/>
        <w:t>本文第10条第１項に基づき取引対象債券等の差替えを行う場合、新取引対象債券等に係る現先レートは、当初の取引対象債券等に係る個別現先取引で合意された現先レートとする。</w:t>
      </w:r>
    </w:p>
    <w:p>
      <w:pPr>
        <w:pStyle w:val="J3"/>
        <w:rPr>
          <w:color w:val="auto"/>
        </w:rPr>
      </w:pPr>
    </w:p>
    <w:p>
      <w:pPr>
        <w:pStyle w:val="J3"/>
        <w:rPr>
          <w:color w:val="auto"/>
        </w:rPr>
      </w:pPr>
      <w:r>
        <w:rPr>
          <w:color w:val="auto"/>
        </w:rPr>
        <w:br w:type="page"/>
      </w:r>
    </w:p>
    <w:sectPr>
      <w:footerReference w:type="default" r:id="rId8"/>
      <w:endnotePr>
        <w:numFmt w:val="decimal"/>
      </w:endnotePr>
      <w:pgSz w:w="11906" w:h="16838" w:code="9"/>
      <w:pgMar w:top="1588" w:right="1531" w:bottom="1474" w:left="1531" w:header="0" w:footer="907"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 w:id="2">
    <w:p>
      <w:pPr>
        <w:pStyle w:val="a6"/>
        <w:spacing w:line="276" w:lineRule="auto"/>
        <w:ind w:left="284" w:hangingChars="142" w:hanging="284"/>
        <w:rPr>
          <w:sz w:val="20"/>
        </w:rPr>
      </w:pPr>
      <w:r>
        <w:rPr>
          <w:rStyle w:val="a7"/>
          <w:sz w:val="20"/>
        </w:rPr>
        <w:endnoteRef/>
      </w:r>
      <w:r>
        <w:rPr>
          <w:rFonts w:hint="eastAsia"/>
          <w:sz w:val="16"/>
          <w:vertAlign w:val="superscript"/>
        </w:rPr>
        <w:t xml:space="preserve"> </w:t>
      </w:r>
      <w:r>
        <w:rPr>
          <w:rFonts w:hint="eastAsia"/>
          <w:sz w:val="16"/>
          <w:szCs w:val="14"/>
        </w:rPr>
        <w:t xml:space="preserve"> </w:t>
      </w:r>
      <w:r>
        <w:rPr>
          <w:rFonts w:hint="eastAsia"/>
          <w:sz w:val="16"/>
        </w:rPr>
        <w:t xml:space="preserve"> 契約締結に際しては当事者間で用いると合意した別紙のみを添付する。どの別紙を添付したのかを明確にするため、添付する別紙を明示する。なお、一部の別紙を添付しない場合であっても本基本契約書参考様式所定の別紙番号は変更せずに用いることが望ましい。</w:t>
      </w:r>
    </w:p>
  </w:endnote>
  <w:endnote w:id="3">
    <w:p>
      <w:pPr>
        <w:pStyle w:val="a6"/>
        <w:spacing w:line="276" w:lineRule="auto"/>
        <w:ind w:left="284" w:hangingChars="142" w:hanging="284"/>
        <w:rPr>
          <w:sz w:val="20"/>
        </w:rPr>
      </w:pPr>
      <w:r>
        <w:rPr>
          <w:rStyle w:val="a7"/>
          <w:sz w:val="20"/>
        </w:rPr>
        <w:endnoteRef/>
      </w:r>
      <w:r>
        <w:rPr>
          <w:rFonts w:hint="eastAsia"/>
          <w:sz w:val="16"/>
          <w:vertAlign w:val="superscript"/>
        </w:rPr>
        <w:t xml:space="preserve"> </w:t>
      </w:r>
      <w:r>
        <w:rPr>
          <w:rFonts w:hint="eastAsia"/>
          <w:sz w:val="16"/>
          <w:szCs w:val="14"/>
        </w:rPr>
        <w:t xml:space="preserve"> </w:t>
      </w:r>
      <w:r>
        <w:rPr>
          <w:rFonts w:hint="eastAsia"/>
          <w:sz w:val="16"/>
        </w:rPr>
        <w:t xml:space="preserve"> 本条に定める通知先及び通知方法は原則を定めるものであり、マージンコールに係る通知など本基本契約において予定されている各種通知等につき、個々に別の通知先や通知方法を指定することも可能。通知先及び通知方法を別紙で規定する場合、各別紙を適宜修正する（例：各別紙の「その他合意事項」に追加する）。また、オペレーションの都合などを踏まえ、本基本契約書外で合意することも可能。</w:t>
      </w:r>
    </w:p>
  </w:endnote>
  <w:endnote w:id="4">
    <w:p>
      <w:pPr>
        <w:pStyle w:val="a6"/>
        <w:spacing w:line="276" w:lineRule="auto"/>
        <w:ind w:left="284" w:hangingChars="142" w:hanging="284"/>
        <w:rPr>
          <w:sz w:val="20"/>
        </w:rPr>
      </w:pPr>
      <w:r>
        <w:rPr>
          <w:rStyle w:val="a7"/>
          <w:sz w:val="20"/>
        </w:rPr>
        <w:endnoteRef/>
      </w:r>
      <w:r>
        <w:rPr>
          <w:rFonts w:hint="eastAsia"/>
          <w:sz w:val="16"/>
          <w:vertAlign w:val="superscript"/>
        </w:rPr>
        <w:t xml:space="preserve"> </w:t>
      </w:r>
      <w:r>
        <w:rPr>
          <w:rFonts w:hint="eastAsia"/>
          <w:sz w:val="16"/>
          <w:szCs w:val="14"/>
        </w:rPr>
        <w:t xml:space="preserve"> </w:t>
      </w:r>
      <w:r>
        <w:rPr>
          <w:rFonts w:hint="eastAsia"/>
          <w:sz w:val="16"/>
        </w:rPr>
        <w:t xml:space="preserve"> 通知方法として電子メールを利用するか否か、他の手段を追加的に許容するか否かなど当事者間の合意に基づき記載する。電子メールを利用する場合、他の方法と組み合わせるか否か、どのアドレスを用いるかなど各社の事情を踏まえて検討する。</w:t>
      </w:r>
    </w:p>
  </w:endnote>
  <w:endnote w:id="5">
    <w:p>
      <w:pPr>
        <w:pStyle w:val="a6"/>
        <w:spacing w:line="276" w:lineRule="auto"/>
        <w:ind w:left="284" w:hangingChars="142" w:hanging="284"/>
        <w:rPr>
          <w:sz w:val="20"/>
        </w:rPr>
      </w:pPr>
      <w:r>
        <w:rPr>
          <w:rStyle w:val="a7"/>
          <w:sz w:val="20"/>
        </w:rPr>
        <w:endnoteRef/>
      </w:r>
      <w:r>
        <w:rPr>
          <w:rFonts w:hint="eastAsia"/>
          <w:sz w:val="16"/>
          <w:vertAlign w:val="superscript"/>
        </w:rPr>
        <w:t xml:space="preserve"> </w:t>
      </w:r>
      <w:r>
        <w:rPr>
          <w:rFonts w:hint="eastAsia"/>
          <w:sz w:val="16"/>
          <w:szCs w:val="14"/>
        </w:rPr>
        <w:t xml:space="preserve"> </w:t>
      </w:r>
      <w:r>
        <w:rPr>
          <w:rFonts w:hint="eastAsia"/>
          <w:sz w:val="16"/>
        </w:rPr>
        <w:t xml:space="preserve"> 通知方法として電子メールを利用するか否か、他の手段を追加的に許容するか否かなど当事者間の合意に基づき記載する。電子メールを利用する場合、他の方法と組み合わせるか否か、どのアドレスを用いるかなど各社の事情を踏まえて検討する。</w:t>
      </w:r>
    </w:p>
  </w:endnote>
  <w:endnote w:id="6">
    <w:p>
      <w:pPr>
        <w:pStyle w:val="a6"/>
        <w:spacing w:line="276" w:lineRule="auto"/>
        <w:ind w:left="284" w:hangingChars="142" w:hanging="284"/>
        <w:rPr>
          <w:sz w:val="20"/>
        </w:rPr>
      </w:pPr>
      <w:r>
        <w:rPr>
          <w:rStyle w:val="a7"/>
          <w:sz w:val="20"/>
        </w:rPr>
        <w:endnoteRef/>
      </w:r>
      <w:r>
        <w:rPr>
          <w:rFonts w:hint="eastAsia"/>
          <w:sz w:val="16"/>
          <w:vertAlign w:val="superscript"/>
        </w:rPr>
        <w:t xml:space="preserve"> </w:t>
      </w:r>
      <w:r>
        <w:rPr>
          <w:rFonts w:hint="eastAsia"/>
          <w:sz w:val="16"/>
          <w:szCs w:val="14"/>
        </w:rPr>
        <w:t xml:space="preserve"> </w:t>
      </w:r>
      <w:r>
        <w:rPr>
          <w:rFonts w:hint="eastAsia"/>
          <w:sz w:val="16"/>
        </w:rPr>
        <w:t xml:space="preserve"> 参照するレートや決定方法を記載する。</w:t>
      </w:r>
    </w:p>
  </w:endnote>
  <w:endnote w:id="7">
    <w:p>
      <w:pPr>
        <w:pStyle w:val="a6"/>
        <w:spacing w:line="276" w:lineRule="auto"/>
        <w:ind w:left="284" w:hangingChars="142" w:hanging="284"/>
        <w:rPr>
          <w:sz w:val="20"/>
        </w:rPr>
      </w:pPr>
      <w:r>
        <w:rPr>
          <w:rStyle w:val="a7"/>
          <w:sz w:val="20"/>
        </w:rPr>
        <w:endnoteRef/>
      </w:r>
      <w:r>
        <w:rPr>
          <w:rFonts w:hint="eastAsia"/>
          <w:sz w:val="16"/>
          <w:vertAlign w:val="superscript"/>
        </w:rPr>
        <w:t xml:space="preserve"> </w:t>
      </w:r>
      <w:r>
        <w:rPr>
          <w:rFonts w:hint="eastAsia"/>
          <w:sz w:val="16"/>
          <w:szCs w:val="14"/>
        </w:rPr>
        <w:t xml:space="preserve"> </w:t>
      </w:r>
      <w:r>
        <w:rPr>
          <w:rFonts w:hint="eastAsia"/>
          <w:sz w:val="16"/>
        </w:rPr>
        <w:t xml:space="preserve"> 担保証券として受け入れる有価証券の種類等を記載する。</w:t>
      </w:r>
    </w:p>
  </w:endnote>
  <w:endnote w:id="8">
    <w:p>
      <w:pPr>
        <w:pStyle w:val="a6"/>
        <w:spacing w:line="276" w:lineRule="auto"/>
        <w:ind w:left="284" w:hangingChars="142" w:hanging="284"/>
        <w:rPr>
          <w:sz w:val="20"/>
        </w:rPr>
      </w:pPr>
      <w:r>
        <w:rPr>
          <w:rStyle w:val="a7"/>
          <w:sz w:val="20"/>
        </w:rPr>
        <w:endnoteRef/>
      </w:r>
      <w:r>
        <w:rPr>
          <w:rFonts w:hint="eastAsia"/>
          <w:sz w:val="16"/>
          <w:vertAlign w:val="superscript"/>
        </w:rPr>
        <w:t xml:space="preserve"> </w:t>
      </w:r>
      <w:r>
        <w:rPr>
          <w:rFonts w:hint="eastAsia"/>
          <w:sz w:val="16"/>
          <w:szCs w:val="14"/>
        </w:rPr>
        <w:t xml:space="preserve"> </w:t>
      </w:r>
      <w:r>
        <w:rPr>
          <w:rFonts w:hint="eastAsia"/>
          <w:sz w:val="16"/>
        </w:rPr>
        <w:t xml:space="preserve"> 適用するヘアカット率を記載する（ヘアカットなしの場合は０％とする。）。</w:t>
      </w:r>
    </w:p>
  </w:endnote>
  <w:endnote w:id="9">
    <w:p>
      <w:pPr>
        <w:pStyle w:val="a6"/>
        <w:spacing w:line="276" w:lineRule="auto"/>
        <w:ind w:left="284" w:hangingChars="142" w:hanging="284"/>
        <w:rPr>
          <w:sz w:val="20"/>
        </w:rPr>
      </w:pPr>
      <w:r>
        <w:rPr>
          <w:rStyle w:val="a7"/>
          <w:sz w:val="20"/>
        </w:rPr>
        <w:endnoteRef/>
      </w:r>
      <w:r>
        <w:rPr>
          <w:rFonts w:hint="eastAsia"/>
          <w:sz w:val="16"/>
          <w:szCs w:val="14"/>
          <w:vertAlign w:val="superscript"/>
        </w:rPr>
        <w:t xml:space="preserve"> </w:t>
      </w:r>
      <w:r>
        <w:rPr>
          <w:rFonts w:hint="eastAsia"/>
          <w:sz w:val="16"/>
          <w:szCs w:val="14"/>
        </w:rPr>
        <w:t xml:space="preserve">  個別取引明細書の交付は、買手若しくは売手が行う、又は常に一方当事者が行う（甲若しくは乙）とすることが考えられるが、当事者間の合意に基づき交付者を記載する。</w:t>
      </w:r>
    </w:p>
  </w:endnote>
  <w:endnote w:id="10">
    <w:p>
      <w:pPr>
        <w:pStyle w:val="a6"/>
        <w:spacing w:line="276" w:lineRule="auto"/>
        <w:ind w:left="284" w:hangingChars="142" w:hanging="284"/>
        <w:rPr>
          <w:sz w:val="20"/>
        </w:rPr>
      </w:pPr>
      <w:r>
        <w:rPr>
          <w:rStyle w:val="a7"/>
          <w:sz w:val="20"/>
        </w:rPr>
        <w:endnoteRef/>
      </w:r>
      <w:r>
        <w:rPr>
          <w:rFonts w:hint="eastAsia"/>
          <w:sz w:val="16"/>
          <w:szCs w:val="14"/>
          <w:vertAlign w:val="superscript"/>
        </w:rPr>
        <w:t xml:space="preserve"> </w:t>
      </w:r>
      <w:r>
        <w:rPr>
          <w:rFonts w:hint="eastAsia"/>
          <w:sz w:val="16"/>
          <w:szCs w:val="14"/>
        </w:rPr>
        <w:t xml:space="preserve">  具体的な期限を定めることも可能。</w:t>
      </w:r>
    </w:p>
  </w:endnote>
  <w:endnote w:id="11">
    <w:p>
      <w:pPr>
        <w:pStyle w:val="a6"/>
        <w:spacing w:line="276" w:lineRule="auto"/>
        <w:ind w:left="256" w:hangingChars="142" w:hanging="256"/>
      </w:pPr>
      <w:r>
        <w:rPr>
          <w:rStyle w:val="a7"/>
        </w:rPr>
        <w:endnoteRef/>
      </w:r>
      <w:r>
        <w:rPr>
          <w:rFonts w:hint="eastAsia"/>
          <w:sz w:val="16"/>
          <w:szCs w:val="14"/>
        </w:rPr>
        <w:t xml:space="preserve">  具体的な期限を定めることも可能。</w:t>
      </w:r>
    </w:p>
  </w:endnote>
  <w:endnote w:id="12">
    <w:p>
      <w:pPr>
        <w:pStyle w:val="a6"/>
        <w:spacing w:line="276" w:lineRule="auto"/>
        <w:ind w:left="284" w:hangingChars="142" w:hanging="284"/>
        <w:rPr>
          <w:sz w:val="20"/>
        </w:rPr>
      </w:pPr>
      <w:r>
        <w:rPr>
          <w:rStyle w:val="a7"/>
          <w:sz w:val="20"/>
        </w:rPr>
        <w:endnoteRef/>
      </w:r>
      <w:r>
        <w:rPr>
          <w:rFonts w:hint="eastAsia"/>
          <w:sz w:val="16"/>
        </w:rPr>
        <w:t xml:space="preserve">  当事者間で用いる確認方法（取引確認システムの利用なども可能）を適宜記載する。その他、交付先や確認に必要な事項を定めることも可能。</w:t>
      </w:r>
    </w:p>
  </w:endnote>
  <w:endnote w:id="13">
    <w:p>
      <w:pPr>
        <w:pStyle w:val="a6"/>
        <w:spacing w:line="276" w:lineRule="auto"/>
        <w:ind w:left="284" w:hangingChars="142" w:hanging="284"/>
        <w:rPr>
          <w:sz w:val="20"/>
        </w:rPr>
      </w:pPr>
      <w:r>
        <w:rPr>
          <w:rStyle w:val="a7"/>
          <w:sz w:val="20"/>
        </w:rPr>
        <w:endnoteRef/>
      </w:r>
      <w:r>
        <w:rPr>
          <w:rFonts w:hint="eastAsia"/>
          <w:sz w:val="16"/>
        </w:rPr>
        <w:t xml:space="preserve">  個別取引明細書の交付を行う場合は前者を、その他の方法で合意内容の確認を行う場合は後者を選択し、他方を削除する。</w:t>
      </w:r>
    </w:p>
  </w:endnote>
  <w:endnote w:id="14">
    <w:p>
      <w:pPr>
        <w:pStyle w:val="a6"/>
        <w:spacing w:line="276" w:lineRule="auto"/>
        <w:ind w:left="284" w:hangingChars="142" w:hanging="284"/>
        <w:rPr>
          <w:sz w:val="20"/>
        </w:rPr>
      </w:pPr>
      <w:r>
        <w:rPr>
          <w:rStyle w:val="a7"/>
          <w:sz w:val="20"/>
        </w:rPr>
        <w:endnoteRef/>
      </w:r>
      <w:r>
        <w:rPr>
          <w:rFonts w:hint="eastAsia"/>
          <w:sz w:val="16"/>
        </w:rPr>
        <w:t xml:space="preserve">  個別取引明細書の交付を行う場合は前者を、それ以外の方法により確認する場合は後者を選択し、他方を削除する。</w:t>
      </w:r>
    </w:p>
  </w:endnote>
  <w:endnote w:id="15">
    <w:p>
      <w:pPr>
        <w:pStyle w:val="a6"/>
        <w:spacing w:line="276" w:lineRule="auto"/>
        <w:ind w:left="284" w:hangingChars="142" w:hanging="284"/>
        <w:rPr>
          <w:sz w:val="20"/>
        </w:rPr>
      </w:pPr>
      <w:r>
        <w:rPr>
          <w:rStyle w:val="a7"/>
          <w:sz w:val="20"/>
        </w:rPr>
        <w:endnoteRef/>
      </w:r>
      <w:r>
        <w:rPr>
          <w:rFonts w:hint="eastAsia"/>
          <w:sz w:val="16"/>
        </w:rPr>
        <w:t xml:space="preserve">  個別取引明細書の交付を行う場合は前者を、それ以外の方法により確認する場合は後者を選択し、他方を削除する。</w:t>
      </w:r>
    </w:p>
  </w:endnote>
  <w:endnote w:id="16">
    <w:p>
      <w:pPr>
        <w:pStyle w:val="a6"/>
        <w:spacing w:line="276" w:lineRule="auto"/>
        <w:ind w:left="284" w:hangingChars="142" w:hanging="284"/>
        <w:rPr>
          <w:sz w:val="20"/>
        </w:rPr>
      </w:pPr>
      <w:r>
        <w:rPr>
          <w:rStyle w:val="a7"/>
          <w:sz w:val="20"/>
        </w:rPr>
        <w:endnoteRef/>
      </w:r>
      <w:r>
        <w:rPr>
          <w:rFonts w:hint="eastAsia"/>
          <w:sz w:val="16"/>
        </w:rPr>
        <w:t xml:space="preserve">  担保金の利息を定める基準金利を記載する。当該日に金利が公表されないといった事態に対応するべく、「（当該対象日の[●]が存在しない場合は、当該対象日の直前に公表された[●]から[●]%を控除した利率）」のような規定を追加することも可能であり、また、当該金利がマイナスの値となった場合に対応するため、「（0%を下限とする。）」といった規定を追加することも可能。</w:t>
      </w:r>
    </w:p>
  </w:endnote>
  <w:endnote w:id="17">
    <w:p>
      <w:pPr>
        <w:pStyle w:val="a6"/>
        <w:spacing w:line="276" w:lineRule="auto"/>
        <w:ind w:left="284" w:hangingChars="142" w:hanging="284"/>
        <w:rPr>
          <w:sz w:val="20"/>
        </w:rPr>
      </w:pPr>
      <w:r>
        <w:rPr>
          <w:rStyle w:val="a7"/>
          <w:sz w:val="20"/>
        </w:rPr>
        <w:endnoteRef/>
      </w:r>
      <w:r>
        <w:rPr>
          <w:rFonts w:hint="eastAsia"/>
          <w:sz w:val="16"/>
        </w:rPr>
        <w:t xml:space="preserve">  受渡担保明細書の交付を行う場合は前者を、それ以外の方法で通知する場合には後者を選択し、他方を削除する。受渡担保明細書以外の方法による場合、通知方法（確認システムの利用なども可能）を適宜記載することも可能。その他、通知先や通知に必要な事項を定めることも可能。通知を行わない場合には本項は削除する。</w:t>
      </w:r>
    </w:p>
  </w:endnote>
  <w:endnote w:id="18">
    <w:p>
      <w:pPr>
        <w:pStyle w:val="a6"/>
        <w:spacing w:line="276" w:lineRule="auto"/>
        <w:ind w:left="284" w:hangingChars="142" w:hanging="284"/>
        <w:rPr>
          <w:sz w:val="20"/>
        </w:rPr>
      </w:pPr>
      <w:r>
        <w:rPr>
          <w:rStyle w:val="a7"/>
          <w:sz w:val="20"/>
        </w:rPr>
        <w:endnoteRef/>
      </w:r>
      <w:r>
        <w:rPr>
          <w:rFonts w:hint="eastAsia"/>
          <w:sz w:val="16"/>
        </w:rPr>
        <w:t xml:space="preserve">  その他、当事者間において合意する事項を記載することが可能。</w:t>
      </w:r>
    </w:p>
  </w:endnote>
  <w:endnote w:id="19">
    <w:p>
      <w:pPr>
        <w:pStyle w:val="a6"/>
        <w:spacing w:line="276" w:lineRule="auto"/>
        <w:ind w:left="284" w:hangingChars="142" w:hanging="284"/>
        <w:rPr>
          <w:sz w:val="20"/>
        </w:rPr>
      </w:pPr>
      <w:r>
        <w:rPr>
          <w:rStyle w:val="a7"/>
          <w:sz w:val="20"/>
        </w:rPr>
        <w:endnoteRef/>
      </w:r>
      <w:r>
        <w:rPr>
          <w:rFonts w:hint="eastAsia"/>
          <w:sz w:val="16"/>
        </w:rPr>
        <w:t xml:space="preserve">  当事者間において合理的と考える時価総額の計算方法を規定する。</w:t>
      </w:r>
    </w:p>
  </w:endnote>
  <w:endnote w:id="20">
    <w:p>
      <w:pPr>
        <w:pStyle w:val="a6"/>
        <w:spacing w:line="276" w:lineRule="auto"/>
        <w:ind w:left="284" w:hangingChars="142" w:hanging="284"/>
        <w:rPr>
          <w:sz w:val="20"/>
        </w:rPr>
      </w:pPr>
      <w:r>
        <w:rPr>
          <w:rStyle w:val="a7"/>
          <w:sz w:val="20"/>
        </w:rPr>
        <w:endnoteRef/>
      </w:r>
      <w:r>
        <w:rPr>
          <w:rFonts w:hint="eastAsia"/>
          <w:sz w:val="16"/>
        </w:rPr>
        <w:t xml:space="preserve">  利用する銘柄割当機関の正式名称を記載。</w:t>
      </w:r>
    </w:p>
  </w:endnote>
  <w:endnote w:id="21">
    <w:p>
      <w:pPr>
        <w:pStyle w:val="a6"/>
        <w:spacing w:line="276" w:lineRule="auto"/>
        <w:ind w:left="284" w:hangingChars="142" w:hanging="284"/>
        <w:rPr>
          <w:sz w:val="20"/>
        </w:rPr>
      </w:pPr>
      <w:r>
        <w:rPr>
          <w:rStyle w:val="a7"/>
          <w:sz w:val="20"/>
        </w:rPr>
        <w:endnoteRef/>
      </w:r>
      <w:r>
        <w:rPr>
          <w:rFonts w:hint="eastAsia"/>
          <w:sz w:val="16"/>
          <w:szCs w:val="14"/>
        </w:rPr>
        <w:t xml:space="preserve">  個別</w:t>
      </w:r>
      <w:r>
        <w:rPr>
          <w:rFonts w:hint="eastAsia"/>
          <w:sz w:val="16"/>
        </w:rPr>
        <w:t>取引</w:t>
      </w:r>
      <w:r>
        <w:rPr>
          <w:rFonts w:hint="eastAsia"/>
          <w:sz w:val="16"/>
          <w:szCs w:val="14"/>
        </w:rPr>
        <w:t>明細書の交付は、買手若しくは売手が行う、又は常に一方当事者が行う（甲若しくは乙）とすることが考えられるが、当事者間の合意に基づき交付者を記載する。</w:t>
      </w:r>
    </w:p>
  </w:endnote>
  <w:endnote w:id="22">
    <w:p>
      <w:pPr>
        <w:pStyle w:val="a6"/>
        <w:spacing w:line="276" w:lineRule="auto"/>
        <w:ind w:left="284" w:hangingChars="142" w:hanging="284"/>
        <w:rPr>
          <w:sz w:val="20"/>
        </w:rPr>
      </w:pPr>
      <w:r>
        <w:rPr>
          <w:rStyle w:val="a7"/>
          <w:sz w:val="20"/>
        </w:rPr>
        <w:endnoteRef/>
      </w:r>
      <w:r>
        <w:rPr>
          <w:rFonts w:hint="eastAsia"/>
          <w:sz w:val="16"/>
          <w:szCs w:val="14"/>
        </w:rPr>
        <w:t xml:space="preserve">  具体的な期限を定めることも可能。</w:t>
      </w:r>
    </w:p>
  </w:endnote>
  <w:endnote w:id="23">
    <w:p>
      <w:pPr>
        <w:pStyle w:val="a6"/>
        <w:spacing w:line="276" w:lineRule="auto"/>
        <w:ind w:left="284" w:hangingChars="142" w:hanging="284"/>
        <w:rPr>
          <w:sz w:val="20"/>
        </w:rPr>
      </w:pPr>
      <w:r>
        <w:rPr>
          <w:rStyle w:val="a7"/>
          <w:sz w:val="20"/>
        </w:rPr>
        <w:endnoteRef/>
      </w:r>
      <w:r>
        <w:rPr>
          <w:rFonts w:hint="eastAsia"/>
          <w:sz w:val="16"/>
          <w:szCs w:val="14"/>
        </w:rPr>
        <w:t xml:space="preserve">  具体的な期限を定めることも可能。</w:t>
      </w:r>
    </w:p>
  </w:endnote>
  <w:endnote w:id="24">
    <w:p>
      <w:pPr>
        <w:pStyle w:val="a6"/>
        <w:spacing w:line="276" w:lineRule="auto"/>
        <w:ind w:left="284" w:hangingChars="142" w:hanging="284"/>
        <w:rPr>
          <w:sz w:val="20"/>
        </w:rPr>
      </w:pPr>
      <w:r>
        <w:rPr>
          <w:rStyle w:val="a7"/>
          <w:sz w:val="20"/>
        </w:rPr>
        <w:endnoteRef/>
      </w:r>
      <w:r>
        <w:rPr>
          <w:rFonts w:hint="eastAsia"/>
          <w:sz w:val="16"/>
        </w:rPr>
        <w:t xml:space="preserve">  当事者間で用いる確認方法（取引確認システムの利用なども可能）を適宜記載する。その他、交付先や確認に必要な事項を定めることも可能。</w:t>
      </w:r>
    </w:p>
  </w:endnote>
  <w:endnote w:id="25">
    <w:p>
      <w:pPr>
        <w:pStyle w:val="a6"/>
        <w:spacing w:line="276" w:lineRule="auto"/>
        <w:ind w:left="284" w:hangingChars="142" w:hanging="284"/>
        <w:rPr>
          <w:sz w:val="20"/>
        </w:rPr>
      </w:pPr>
      <w:r>
        <w:rPr>
          <w:rStyle w:val="a7"/>
          <w:sz w:val="20"/>
        </w:rPr>
        <w:endnoteRef/>
      </w:r>
      <w:r>
        <w:rPr>
          <w:rFonts w:hint="eastAsia"/>
          <w:sz w:val="16"/>
        </w:rPr>
        <w:t xml:space="preserve">  個別取引明細書の交付を行う場合は前者を、その他の方法で合意内容の確認を行う場合は後者を選択し、他方を削除する。</w:t>
      </w:r>
    </w:p>
  </w:endnote>
  <w:endnote w:id="26">
    <w:p>
      <w:pPr>
        <w:pStyle w:val="a6"/>
        <w:spacing w:line="276" w:lineRule="auto"/>
        <w:ind w:left="284" w:hangingChars="142" w:hanging="284"/>
        <w:rPr>
          <w:sz w:val="20"/>
        </w:rPr>
      </w:pPr>
      <w:r>
        <w:rPr>
          <w:rStyle w:val="a7"/>
          <w:sz w:val="20"/>
        </w:rPr>
        <w:endnoteRef/>
      </w:r>
      <w:r>
        <w:rPr>
          <w:rFonts w:hint="eastAsia"/>
          <w:sz w:val="16"/>
        </w:rPr>
        <w:t xml:space="preserve">  銘柄後決め現先取引が中央清算機関における清算を前提としていない場合には本条の規定を削除する。また、当事者間の合意によって修正することも可能。</w:t>
      </w:r>
    </w:p>
  </w:endnote>
  <w:endnote w:id="27">
    <w:p>
      <w:pPr>
        <w:pStyle w:val="a6"/>
        <w:spacing w:line="276" w:lineRule="auto"/>
        <w:ind w:left="284" w:hangingChars="142" w:hanging="284"/>
        <w:rPr>
          <w:sz w:val="20"/>
        </w:rPr>
      </w:pPr>
      <w:r>
        <w:rPr>
          <w:rStyle w:val="a7"/>
          <w:sz w:val="20"/>
        </w:rPr>
        <w:endnoteRef/>
      </w:r>
      <w:r>
        <w:rPr>
          <w:rFonts w:hint="eastAsia"/>
          <w:sz w:val="16"/>
        </w:rPr>
        <w:t xml:space="preserve">  銘柄後決め現先取引として清算されるための措置ではなく、他にとり得る手段として規定しているが、当事者間のさらなる合意が必要であるため、当然に条件が変更されるわけではない。</w:t>
      </w:r>
    </w:p>
  </w:endnote>
  <w:endnote w:id="28">
    <w:p>
      <w:pPr>
        <w:pStyle w:val="a6"/>
        <w:spacing w:line="276" w:lineRule="auto"/>
        <w:ind w:left="284" w:hangingChars="142" w:hanging="284"/>
        <w:rPr>
          <w:sz w:val="20"/>
        </w:rPr>
      </w:pPr>
      <w:r>
        <w:rPr>
          <w:rStyle w:val="a7"/>
          <w:sz w:val="20"/>
        </w:rPr>
        <w:endnoteRef/>
      </w:r>
      <w:r>
        <w:rPr>
          <w:rFonts w:hint="eastAsia"/>
          <w:sz w:val="16"/>
        </w:rPr>
        <w:t xml:space="preserve">  利用する銘柄割当機関に応じて適宜修正する。</w:t>
      </w:r>
    </w:p>
  </w:endnote>
  <w:endnote w:id="29">
    <w:p>
      <w:pPr>
        <w:pStyle w:val="a6"/>
        <w:spacing w:line="276" w:lineRule="auto"/>
        <w:ind w:left="284" w:hangingChars="142" w:hanging="284"/>
        <w:rPr>
          <w:sz w:val="20"/>
        </w:rPr>
      </w:pPr>
      <w:r>
        <w:rPr>
          <w:rStyle w:val="a7"/>
          <w:sz w:val="20"/>
        </w:rPr>
        <w:endnoteRef/>
      </w:r>
      <w:r>
        <w:rPr>
          <w:rFonts w:hint="eastAsia"/>
          <w:sz w:val="16"/>
        </w:rPr>
        <w:t xml:space="preserve">  参照するレートや決定方法を記載する。</w:t>
      </w:r>
    </w:p>
  </w:endnote>
  <w:endnote w:id="30">
    <w:p>
      <w:pPr>
        <w:pStyle w:val="a6"/>
        <w:spacing w:line="276" w:lineRule="auto"/>
        <w:ind w:left="284" w:hangingChars="142" w:hanging="284"/>
        <w:rPr>
          <w:sz w:val="20"/>
        </w:rPr>
      </w:pPr>
      <w:r>
        <w:rPr>
          <w:rStyle w:val="a7"/>
          <w:sz w:val="20"/>
        </w:rPr>
        <w:endnoteRef/>
      </w:r>
      <w:r>
        <w:rPr>
          <w:rFonts w:hint="eastAsia"/>
          <w:sz w:val="16"/>
        </w:rPr>
        <w:t xml:space="preserve">  担保証券として受け入れる有価証券の種類等を記載する。</w:t>
      </w:r>
    </w:p>
  </w:endnote>
  <w:endnote w:id="31">
    <w:p>
      <w:pPr>
        <w:pStyle w:val="a6"/>
        <w:spacing w:line="276" w:lineRule="auto"/>
        <w:ind w:left="284" w:hangingChars="142" w:hanging="284"/>
        <w:rPr>
          <w:sz w:val="20"/>
        </w:rPr>
      </w:pPr>
      <w:r>
        <w:rPr>
          <w:rStyle w:val="a7"/>
          <w:sz w:val="20"/>
        </w:rPr>
        <w:endnoteRef/>
      </w:r>
      <w:r>
        <w:rPr>
          <w:rFonts w:hint="eastAsia"/>
          <w:sz w:val="16"/>
        </w:rPr>
        <w:t xml:space="preserve">  適用するヘアカット率を記載する（ヘアカットなしの場合は０％と記載する。）。</w:t>
      </w:r>
    </w:p>
  </w:endnote>
  <w:endnote w:id="32">
    <w:p>
      <w:pPr>
        <w:pStyle w:val="a6"/>
        <w:spacing w:line="276" w:lineRule="auto"/>
        <w:ind w:left="284" w:hangingChars="142" w:hanging="284"/>
        <w:rPr>
          <w:sz w:val="20"/>
        </w:rPr>
      </w:pPr>
      <w:r>
        <w:rPr>
          <w:rStyle w:val="a7"/>
          <w:sz w:val="20"/>
        </w:rPr>
        <w:endnoteRef/>
      </w:r>
      <w:r>
        <w:rPr>
          <w:rFonts w:hint="eastAsia"/>
          <w:sz w:val="16"/>
          <w:szCs w:val="14"/>
        </w:rPr>
        <w:t xml:space="preserve">  個別取引明細書の交付は、買手若しくは売手が行う、又は常に一方当事者が行う（甲若しくは乙）とすることが考えられるが、当事者間の合意に基づき交付者を記載する。</w:t>
      </w:r>
    </w:p>
  </w:endnote>
  <w:endnote w:id="33">
    <w:p>
      <w:pPr>
        <w:pStyle w:val="a6"/>
        <w:spacing w:line="276" w:lineRule="auto"/>
        <w:ind w:left="284" w:hangingChars="142" w:hanging="284"/>
        <w:rPr>
          <w:sz w:val="20"/>
        </w:rPr>
      </w:pPr>
      <w:r>
        <w:rPr>
          <w:rStyle w:val="a7"/>
          <w:sz w:val="20"/>
        </w:rPr>
        <w:endnoteRef/>
      </w:r>
      <w:r>
        <w:rPr>
          <w:rFonts w:hint="eastAsia"/>
          <w:sz w:val="16"/>
          <w:szCs w:val="14"/>
        </w:rPr>
        <w:t xml:space="preserve">  具体的な期限を定めることも可能。</w:t>
      </w:r>
    </w:p>
  </w:endnote>
  <w:endnote w:id="34">
    <w:p>
      <w:pPr>
        <w:pStyle w:val="a6"/>
        <w:spacing w:line="276" w:lineRule="auto"/>
        <w:ind w:left="284" w:hangingChars="142" w:hanging="284"/>
      </w:pPr>
      <w:r>
        <w:rPr>
          <w:rStyle w:val="a7"/>
          <w:sz w:val="20"/>
        </w:rPr>
        <w:endnoteRef/>
      </w:r>
      <w:r>
        <w:rPr>
          <w:rFonts w:hint="eastAsia"/>
          <w:sz w:val="16"/>
          <w:szCs w:val="14"/>
        </w:rPr>
        <w:t xml:space="preserve">  具体的な期限を定めることも可能。</w:t>
      </w:r>
    </w:p>
  </w:endnote>
  <w:endnote w:id="35">
    <w:p>
      <w:pPr>
        <w:pStyle w:val="a6"/>
        <w:spacing w:line="276" w:lineRule="auto"/>
        <w:ind w:left="284" w:hangingChars="142" w:hanging="284"/>
        <w:rPr>
          <w:sz w:val="20"/>
        </w:rPr>
      </w:pPr>
      <w:r>
        <w:rPr>
          <w:rStyle w:val="a7"/>
          <w:sz w:val="20"/>
        </w:rPr>
        <w:endnoteRef/>
      </w:r>
      <w:r>
        <w:rPr>
          <w:rFonts w:hint="eastAsia"/>
          <w:sz w:val="16"/>
        </w:rPr>
        <w:t xml:space="preserve">  </w:t>
      </w:r>
      <w:r>
        <w:rPr>
          <w:rFonts w:hint="eastAsia"/>
          <w:sz w:val="16"/>
          <w:szCs w:val="14"/>
        </w:rPr>
        <w:t>当事者間</w:t>
      </w:r>
      <w:r>
        <w:rPr>
          <w:rFonts w:hint="eastAsia"/>
          <w:sz w:val="16"/>
        </w:rPr>
        <w:t>で用いる確認方法（取引確認システムの利用なども可能）を適宜記載する。その他、交付先や確認に必要な事項を定めることも可能。</w:t>
      </w:r>
    </w:p>
  </w:endnote>
  <w:endnote w:id="36">
    <w:p>
      <w:pPr>
        <w:pStyle w:val="a6"/>
        <w:spacing w:line="276" w:lineRule="auto"/>
        <w:ind w:left="284" w:hangingChars="142" w:hanging="284"/>
        <w:rPr>
          <w:sz w:val="20"/>
        </w:rPr>
      </w:pPr>
      <w:r>
        <w:rPr>
          <w:rStyle w:val="a7"/>
          <w:sz w:val="20"/>
        </w:rPr>
        <w:endnoteRef/>
      </w:r>
      <w:r>
        <w:rPr>
          <w:rFonts w:hint="eastAsia"/>
          <w:sz w:val="16"/>
        </w:rPr>
        <w:t xml:space="preserve">  個別取引明細書の交付を行う場合は前者を、その他の方法で合意内容の確認を行う場合は後者を選択し、他方を削除する。</w:t>
      </w:r>
    </w:p>
  </w:endnote>
  <w:endnote w:id="37">
    <w:p>
      <w:pPr>
        <w:pStyle w:val="a6"/>
        <w:spacing w:line="276" w:lineRule="auto"/>
        <w:ind w:left="284" w:hangingChars="142" w:hanging="284"/>
        <w:rPr>
          <w:sz w:val="20"/>
        </w:rPr>
      </w:pPr>
      <w:r>
        <w:rPr>
          <w:rStyle w:val="a7"/>
          <w:sz w:val="20"/>
        </w:rPr>
        <w:endnoteRef/>
      </w:r>
      <w:r>
        <w:rPr>
          <w:rFonts w:hint="eastAsia"/>
          <w:sz w:val="16"/>
        </w:rPr>
        <w:t xml:space="preserve">  担保金の利息を定める基準金利を記載する。当該日に金利が公表されないといった事態に対応するべく、「（当該対象日の[●]が存在しない場合は、当該対象日の直前に公表された[●]から[●]%を控除した利率）」のような規定を追加することも可能であり、当該金利がマイナスの値と</w:t>
      </w:r>
      <w:r>
        <w:rPr>
          <w:rFonts w:hint="eastAsia"/>
          <w:sz w:val="16"/>
          <w:szCs w:val="14"/>
        </w:rPr>
        <w:t>なった</w:t>
      </w:r>
      <w:r>
        <w:rPr>
          <w:rFonts w:hint="eastAsia"/>
          <w:sz w:val="16"/>
        </w:rPr>
        <w:t>場合に対応するため、「（0%を下限とする。）」といった規定を追加することも可能。</w:t>
      </w:r>
    </w:p>
  </w:endnote>
  <w:endnote w:id="38">
    <w:p>
      <w:pPr>
        <w:pStyle w:val="a6"/>
        <w:spacing w:line="276" w:lineRule="auto"/>
        <w:ind w:left="284" w:hangingChars="142" w:hanging="284"/>
        <w:rPr>
          <w:sz w:val="20"/>
        </w:rPr>
      </w:pPr>
      <w:r>
        <w:rPr>
          <w:rStyle w:val="a7"/>
          <w:sz w:val="20"/>
        </w:rPr>
        <w:endnoteRef/>
      </w:r>
      <w:r>
        <w:rPr>
          <w:rFonts w:hint="eastAsia"/>
          <w:sz w:val="16"/>
        </w:rPr>
        <w:t xml:space="preserve">  受渡担保明細書の交付を行う場合は前者を、それ以外の方法で通知する場合には後者を選択し、他方を削除する。受渡担保明細書以外の方法に</w:t>
      </w:r>
      <w:r>
        <w:rPr>
          <w:rFonts w:hint="eastAsia"/>
          <w:sz w:val="16"/>
          <w:szCs w:val="14"/>
        </w:rPr>
        <w:t>よる</w:t>
      </w:r>
      <w:r>
        <w:rPr>
          <w:rFonts w:hint="eastAsia"/>
          <w:sz w:val="16"/>
        </w:rPr>
        <w:t>場合、通知方法（確認システムの利用なども可能）を適宜記載することも可能。その他、通知先や通知に必要な事項を定めることも可能。通知を行わない場合には本項は削除する。</w:t>
      </w:r>
    </w:p>
  </w:endnote>
  <w:endnote w:id="39">
    <w:p>
      <w:pPr>
        <w:pStyle w:val="a6"/>
        <w:spacing w:line="276" w:lineRule="auto"/>
        <w:ind w:left="284" w:hangingChars="142" w:hanging="284"/>
        <w:rPr>
          <w:sz w:val="20"/>
        </w:rPr>
      </w:pPr>
      <w:r>
        <w:rPr>
          <w:rStyle w:val="a7"/>
          <w:sz w:val="20"/>
        </w:rPr>
        <w:endnoteRef/>
      </w:r>
      <w:r>
        <w:rPr>
          <w:rFonts w:hint="eastAsia"/>
          <w:sz w:val="16"/>
          <w:szCs w:val="14"/>
        </w:rPr>
        <w:t xml:space="preserve">  当事者間の合意に基づき取扱いを記載する。</w:t>
      </w:r>
    </w:p>
  </w:endnote>
  <w:endnote w:id="40">
    <w:p>
      <w:pPr>
        <w:pStyle w:val="a6"/>
        <w:spacing w:line="276" w:lineRule="auto"/>
        <w:ind w:left="284" w:hangingChars="142" w:hanging="284"/>
        <w:rPr>
          <w:sz w:val="20"/>
        </w:rPr>
      </w:pPr>
      <w:r>
        <w:rPr>
          <w:rStyle w:val="a7"/>
          <w:sz w:val="20"/>
        </w:rPr>
        <w:endnoteRef/>
      </w:r>
      <w:r>
        <w:rPr>
          <w:sz w:val="20"/>
        </w:rPr>
        <w:t xml:space="preserve">  </w:t>
      </w:r>
      <w:r>
        <w:rPr>
          <w:rFonts w:hint="eastAsia"/>
          <w:sz w:val="16"/>
        </w:rPr>
        <w:t>その他、当事者間において合意する事項を記載することが可能。</w:t>
      </w:r>
    </w:p>
  </w:endnote>
  <w:endnote w:id="41">
    <w:p>
      <w:pPr>
        <w:pStyle w:val="a6"/>
        <w:spacing w:line="276" w:lineRule="auto"/>
        <w:ind w:left="284" w:hangingChars="142" w:hanging="284"/>
        <w:rPr>
          <w:sz w:val="20"/>
        </w:rPr>
      </w:pPr>
      <w:r>
        <w:rPr>
          <w:rStyle w:val="a7"/>
          <w:sz w:val="20"/>
        </w:rPr>
        <w:endnoteRef/>
      </w:r>
      <w:r>
        <w:rPr>
          <w:rFonts w:hint="eastAsia"/>
          <w:sz w:val="16"/>
          <w:szCs w:val="14"/>
        </w:rPr>
        <w:t xml:space="preserve">  </w:t>
      </w:r>
      <w:r>
        <w:rPr>
          <w:rStyle w:val="a7"/>
          <w:rFonts w:hint="eastAsia"/>
          <w:sz w:val="16"/>
          <w:szCs w:val="14"/>
          <w:vertAlign w:val="baseline"/>
        </w:rPr>
        <w:t>当事者間</w:t>
      </w:r>
      <w:r>
        <w:rPr>
          <w:rFonts w:hint="eastAsia"/>
          <w:sz w:val="16"/>
        </w:rPr>
        <w:t>において合理的と考える時価総額の計算方法を規定することが可能。</w:t>
      </w:r>
    </w:p>
  </w:endnote>
  <w:endnote w:id="42">
    <w:p>
      <w:pPr>
        <w:pStyle w:val="a6"/>
        <w:spacing w:line="276" w:lineRule="auto"/>
        <w:ind w:left="284" w:hangingChars="142" w:hanging="284"/>
        <w:rPr>
          <w:sz w:val="20"/>
        </w:rPr>
      </w:pPr>
      <w:r>
        <w:rPr>
          <w:rStyle w:val="a7"/>
          <w:sz w:val="20"/>
        </w:rPr>
        <w:endnoteRef/>
      </w:r>
      <w:r>
        <w:rPr>
          <w:rFonts w:hint="eastAsia"/>
          <w:sz w:val="16"/>
        </w:rPr>
        <w:t xml:space="preserve">  参照するレートや決定方法を記載する。</w:t>
      </w:r>
    </w:p>
  </w:endnote>
  <w:endnote w:id="43">
    <w:p>
      <w:pPr>
        <w:pStyle w:val="a6"/>
        <w:spacing w:line="276" w:lineRule="auto"/>
        <w:ind w:left="284" w:hangingChars="142" w:hanging="284"/>
        <w:rPr>
          <w:sz w:val="20"/>
        </w:rPr>
      </w:pPr>
      <w:r>
        <w:rPr>
          <w:rStyle w:val="a7"/>
          <w:sz w:val="20"/>
        </w:rPr>
        <w:endnoteRef/>
      </w:r>
      <w:r>
        <w:rPr>
          <w:rFonts w:hint="eastAsia"/>
          <w:sz w:val="16"/>
        </w:rPr>
        <w:t xml:space="preserve">  担保証券として受け入れる有価証券の種類等を記載する。</w:t>
      </w:r>
    </w:p>
  </w:endnote>
  <w:endnote w:id="44">
    <w:p>
      <w:pPr>
        <w:pStyle w:val="a6"/>
        <w:spacing w:line="276" w:lineRule="auto"/>
        <w:ind w:left="284" w:hangingChars="142" w:hanging="284"/>
        <w:rPr>
          <w:sz w:val="20"/>
        </w:rPr>
      </w:pPr>
      <w:r>
        <w:rPr>
          <w:rStyle w:val="a7"/>
          <w:sz w:val="20"/>
        </w:rPr>
        <w:endnoteRef/>
      </w:r>
      <w:r>
        <w:rPr>
          <w:rFonts w:hint="eastAsia"/>
          <w:sz w:val="16"/>
        </w:rPr>
        <w:t xml:space="preserve">  適用するヘアカット率を記載する（ヘアカットなしの場合は０％とする。）。</w:t>
      </w:r>
    </w:p>
  </w:endnote>
  <w:endnote w:id="45">
    <w:p>
      <w:pPr>
        <w:pStyle w:val="a6"/>
        <w:spacing w:line="276" w:lineRule="auto"/>
        <w:ind w:left="284" w:hangingChars="142" w:hanging="284"/>
        <w:rPr>
          <w:sz w:val="20"/>
        </w:rPr>
      </w:pPr>
      <w:r>
        <w:rPr>
          <w:rStyle w:val="a7"/>
          <w:sz w:val="20"/>
        </w:rPr>
        <w:endnoteRef/>
      </w:r>
      <w:r>
        <w:rPr>
          <w:rFonts w:hint="eastAsia"/>
          <w:sz w:val="16"/>
          <w:szCs w:val="14"/>
        </w:rPr>
        <w:t xml:space="preserve">  個別取引明細書の交付は、買手若しくは売手が行う、又は常に一方当事者が行う（甲若しくは乙）とすることが考えられるが、当事者間の合意に基づき交付者を記載する。</w:t>
      </w:r>
    </w:p>
  </w:endnote>
  <w:endnote w:id="46">
    <w:p>
      <w:pPr>
        <w:pStyle w:val="a6"/>
        <w:spacing w:line="276" w:lineRule="auto"/>
        <w:ind w:left="284" w:hangingChars="142" w:hanging="284"/>
        <w:rPr>
          <w:sz w:val="20"/>
        </w:rPr>
      </w:pPr>
      <w:r>
        <w:rPr>
          <w:rStyle w:val="a7"/>
          <w:sz w:val="20"/>
        </w:rPr>
        <w:endnoteRef/>
      </w:r>
      <w:r>
        <w:rPr>
          <w:rFonts w:hint="eastAsia"/>
          <w:sz w:val="16"/>
          <w:szCs w:val="14"/>
        </w:rPr>
        <w:t xml:space="preserve">  具体的な期限を定めることも可能。</w:t>
      </w:r>
    </w:p>
  </w:endnote>
  <w:endnote w:id="47">
    <w:p>
      <w:pPr>
        <w:pStyle w:val="a6"/>
        <w:spacing w:line="276" w:lineRule="auto"/>
        <w:ind w:left="284" w:hangingChars="142" w:hanging="284"/>
        <w:rPr>
          <w:sz w:val="20"/>
        </w:rPr>
      </w:pPr>
      <w:r>
        <w:rPr>
          <w:rStyle w:val="a7"/>
          <w:sz w:val="20"/>
        </w:rPr>
        <w:endnoteRef/>
      </w:r>
      <w:r>
        <w:rPr>
          <w:rFonts w:hint="eastAsia"/>
          <w:sz w:val="16"/>
          <w:szCs w:val="14"/>
        </w:rPr>
        <w:t xml:space="preserve">  具体的な期限を定めることも可能。</w:t>
      </w:r>
    </w:p>
  </w:endnote>
  <w:endnote w:id="48">
    <w:p>
      <w:pPr>
        <w:pStyle w:val="a6"/>
        <w:spacing w:line="276" w:lineRule="auto"/>
        <w:ind w:left="284" w:hangingChars="142" w:hanging="284"/>
        <w:rPr>
          <w:sz w:val="20"/>
        </w:rPr>
      </w:pPr>
      <w:r>
        <w:rPr>
          <w:rStyle w:val="a7"/>
          <w:sz w:val="20"/>
        </w:rPr>
        <w:endnoteRef/>
      </w:r>
      <w:r>
        <w:rPr>
          <w:rFonts w:hint="eastAsia"/>
          <w:sz w:val="16"/>
        </w:rPr>
        <w:t xml:space="preserve">  </w:t>
      </w:r>
      <w:r>
        <w:rPr>
          <w:rFonts w:hint="eastAsia"/>
          <w:sz w:val="16"/>
          <w:szCs w:val="14"/>
        </w:rPr>
        <w:t>当事者間</w:t>
      </w:r>
      <w:r>
        <w:rPr>
          <w:rFonts w:hint="eastAsia"/>
          <w:sz w:val="16"/>
        </w:rPr>
        <w:t>で用いる確認方法（取引確認システムの利用なども可能）を適宜記載する。その他、交付先や確認に必要な事項を定めることも可能。</w:t>
      </w:r>
    </w:p>
  </w:endnote>
  <w:endnote w:id="49">
    <w:p>
      <w:pPr>
        <w:pStyle w:val="a6"/>
        <w:spacing w:line="276" w:lineRule="auto"/>
        <w:ind w:left="284" w:hangingChars="142" w:hanging="284"/>
        <w:rPr>
          <w:sz w:val="20"/>
        </w:rPr>
      </w:pPr>
      <w:r>
        <w:rPr>
          <w:rStyle w:val="a7"/>
          <w:sz w:val="20"/>
        </w:rPr>
        <w:endnoteRef/>
      </w:r>
      <w:r>
        <w:rPr>
          <w:rFonts w:hint="eastAsia"/>
          <w:sz w:val="16"/>
        </w:rPr>
        <w:t xml:space="preserve">  個別取引明細書の交付を行う場合は前者を、その他の方法で合意内容の確認を行う場合は後者を選択し、他方を削除する。</w:t>
      </w:r>
    </w:p>
  </w:endnote>
  <w:endnote w:id="50">
    <w:p>
      <w:pPr>
        <w:pStyle w:val="a6"/>
        <w:spacing w:line="276" w:lineRule="auto"/>
        <w:ind w:left="284" w:hangingChars="142" w:hanging="284"/>
        <w:rPr>
          <w:sz w:val="20"/>
        </w:rPr>
      </w:pPr>
      <w:r>
        <w:rPr>
          <w:rStyle w:val="a7"/>
          <w:sz w:val="20"/>
        </w:rPr>
        <w:endnoteRef/>
      </w:r>
      <w:r>
        <w:rPr>
          <w:rFonts w:hint="eastAsia"/>
          <w:sz w:val="16"/>
        </w:rPr>
        <w:t xml:space="preserve">  非利含み現先取引である旨を記載する。</w:t>
      </w:r>
    </w:p>
  </w:endnote>
  <w:endnote w:id="51">
    <w:p>
      <w:pPr>
        <w:pStyle w:val="a6"/>
        <w:spacing w:line="276" w:lineRule="auto"/>
        <w:ind w:left="284" w:hangingChars="142" w:hanging="284"/>
        <w:rPr>
          <w:sz w:val="20"/>
        </w:rPr>
      </w:pPr>
      <w:r>
        <w:rPr>
          <w:rStyle w:val="a7"/>
          <w:sz w:val="20"/>
        </w:rPr>
        <w:endnoteRef/>
      </w:r>
      <w:r>
        <w:rPr>
          <w:rFonts w:hint="eastAsia"/>
          <w:sz w:val="16"/>
        </w:rPr>
        <w:t xml:space="preserve">  担保金の利息を定める基準金利を記載する。当該日に金利が公表されないといった事態に対応するべく、「（当該対象日の[●]が存在しない場合は、</w:t>
      </w:r>
      <w:r>
        <w:rPr>
          <w:rFonts w:hint="eastAsia"/>
          <w:sz w:val="16"/>
          <w:szCs w:val="14"/>
        </w:rPr>
        <w:t>当該</w:t>
      </w:r>
      <w:r>
        <w:rPr>
          <w:rFonts w:hint="eastAsia"/>
          <w:sz w:val="16"/>
        </w:rPr>
        <w:t>対象日の直前に公表された[●]から[●]%を控除した利率）」のような規定を追加することも可能であり、当該金利がマイナスの値となった場合に対応するため、「（0%を下限とする。）」といった規定を追加することも可能。</w:t>
      </w:r>
    </w:p>
  </w:endnote>
  <w:endnote w:id="52">
    <w:p>
      <w:pPr>
        <w:pStyle w:val="a6"/>
        <w:spacing w:line="276" w:lineRule="auto"/>
        <w:ind w:left="284" w:hangingChars="142" w:hanging="284"/>
        <w:rPr>
          <w:sz w:val="20"/>
        </w:rPr>
      </w:pPr>
      <w:r>
        <w:rPr>
          <w:rStyle w:val="a7"/>
          <w:sz w:val="20"/>
        </w:rPr>
        <w:endnoteRef/>
      </w:r>
      <w:r>
        <w:rPr>
          <w:rFonts w:hint="eastAsia"/>
          <w:sz w:val="16"/>
        </w:rPr>
        <w:t xml:space="preserve">  受渡担保明細書の交付を行う場合は前者を、それ以外の方法で通知する場合には後者を選択し、他方を削除する。受渡担保明細書以外の方法に</w:t>
      </w:r>
      <w:r>
        <w:rPr>
          <w:rFonts w:hint="eastAsia"/>
          <w:sz w:val="16"/>
          <w:szCs w:val="14"/>
        </w:rPr>
        <w:t>よる</w:t>
      </w:r>
      <w:r>
        <w:rPr>
          <w:rFonts w:hint="eastAsia"/>
          <w:sz w:val="16"/>
        </w:rPr>
        <w:t>場合、通知方法（確認システムの利用なども可能）を適宜記載することも可能。その他、通知先や通知に必要な事項を定めることも可能。通知を行わない場合には本項は削除する。</w:t>
      </w:r>
    </w:p>
  </w:endnote>
  <w:endnote w:id="53">
    <w:p>
      <w:pPr>
        <w:pStyle w:val="a6"/>
        <w:spacing w:line="276" w:lineRule="auto"/>
        <w:ind w:left="284" w:hangingChars="142" w:hanging="284"/>
        <w:rPr>
          <w:sz w:val="20"/>
        </w:rPr>
      </w:pPr>
      <w:r>
        <w:rPr>
          <w:rStyle w:val="a7"/>
          <w:sz w:val="20"/>
        </w:rPr>
        <w:endnoteRef/>
      </w:r>
      <w:r>
        <w:rPr>
          <w:sz w:val="20"/>
        </w:rPr>
        <w:t xml:space="preserve">  </w:t>
      </w:r>
      <w:r>
        <w:rPr>
          <w:rFonts w:hint="eastAsia"/>
          <w:sz w:val="16"/>
        </w:rPr>
        <w:t>その他、当事者間において合意する事項を記載することが可能。</w:t>
      </w:r>
    </w:p>
  </w:endnote>
  <w:endnote w:id="54">
    <w:p>
      <w:pPr>
        <w:pStyle w:val="a6"/>
        <w:spacing w:line="276" w:lineRule="auto"/>
        <w:ind w:left="284" w:hangingChars="142" w:hanging="284"/>
        <w:rPr>
          <w:sz w:val="20"/>
        </w:rPr>
      </w:pPr>
      <w:r>
        <w:rPr>
          <w:rStyle w:val="a7"/>
          <w:sz w:val="20"/>
        </w:rPr>
        <w:endnoteRef/>
      </w:r>
      <w:r>
        <w:rPr>
          <w:rFonts w:hint="eastAsia"/>
          <w:sz w:val="16"/>
        </w:rPr>
        <w:t xml:space="preserve">  当事者間において合理的と考える時価総額の計算方法を規定することが可能。</w:t>
      </w:r>
    </w:p>
  </w:endnote>
  <w:endnote w:id="55">
    <w:p>
      <w:pPr>
        <w:pStyle w:val="a6"/>
        <w:spacing w:line="276" w:lineRule="auto"/>
        <w:ind w:left="284" w:hangingChars="142" w:hanging="284"/>
        <w:rPr>
          <w:sz w:val="20"/>
        </w:rPr>
      </w:pPr>
      <w:r>
        <w:rPr>
          <w:rStyle w:val="a7"/>
          <w:sz w:val="20"/>
        </w:rPr>
        <w:endnoteRef/>
      </w:r>
      <w:r>
        <w:rPr>
          <w:rFonts w:hint="eastAsia"/>
          <w:sz w:val="16"/>
        </w:rPr>
        <w:t xml:space="preserve">  当事者間で定めるものを規定する。</w:t>
      </w:r>
    </w:p>
  </w:endnote>
  <w:endnote w:id="56">
    <w:p>
      <w:pPr>
        <w:pStyle w:val="a6"/>
        <w:spacing w:line="276" w:lineRule="auto"/>
        <w:ind w:left="284" w:hangingChars="142" w:hanging="284"/>
        <w:rPr>
          <w:sz w:val="20"/>
        </w:rPr>
      </w:pPr>
      <w:r>
        <w:rPr>
          <w:rStyle w:val="a7"/>
          <w:sz w:val="20"/>
        </w:rPr>
        <w:endnoteRef/>
      </w:r>
      <w:r>
        <w:rPr>
          <w:rFonts w:hint="eastAsia"/>
          <w:sz w:val="16"/>
        </w:rPr>
        <w:t xml:space="preserve">  担保証券として受け入れる有価証券の種類等を記載する。</w:t>
      </w:r>
    </w:p>
  </w:endnote>
  <w:endnote w:id="57">
    <w:p>
      <w:pPr>
        <w:pStyle w:val="a6"/>
        <w:spacing w:line="276" w:lineRule="auto"/>
        <w:ind w:left="284" w:hangingChars="142" w:hanging="284"/>
        <w:rPr>
          <w:sz w:val="20"/>
        </w:rPr>
      </w:pPr>
      <w:r>
        <w:rPr>
          <w:rStyle w:val="a7"/>
          <w:sz w:val="20"/>
        </w:rPr>
        <w:endnoteRef/>
      </w:r>
      <w:r>
        <w:rPr>
          <w:rFonts w:hint="eastAsia"/>
          <w:sz w:val="16"/>
          <w:szCs w:val="14"/>
        </w:rPr>
        <w:t xml:space="preserve">  個別取引明細書の交付は、買手若しくは売手が行う、又は常に一方当事者が行う（甲若しくは乙）とすることが考えられるが、当事者間の合意に基づき交付者を記載する。</w:t>
      </w:r>
    </w:p>
  </w:endnote>
  <w:endnote w:id="58">
    <w:p>
      <w:pPr>
        <w:pStyle w:val="a6"/>
        <w:spacing w:line="276" w:lineRule="auto"/>
        <w:ind w:left="284" w:hangingChars="142" w:hanging="284"/>
        <w:rPr>
          <w:sz w:val="20"/>
        </w:rPr>
      </w:pPr>
      <w:r>
        <w:rPr>
          <w:rStyle w:val="a7"/>
          <w:sz w:val="20"/>
        </w:rPr>
        <w:endnoteRef/>
      </w:r>
      <w:r>
        <w:rPr>
          <w:rFonts w:hint="eastAsia"/>
          <w:sz w:val="16"/>
          <w:szCs w:val="14"/>
        </w:rPr>
        <w:t xml:space="preserve">  具体的な期限を定めることも可能。</w:t>
      </w:r>
    </w:p>
  </w:endnote>
  <w:endnote w:id="59">
    <w:p>
      <w:pPr>
        <w:pStyle w:val="a6"/>
        <w:spacing w:line="276" w:lineRule="auto"/>
        <w:ind w:left="284" w:hangingChars="142" w:hanging="284"/>
        <w:rPr>
          <w:sz w:val="20"/>
        </w:rPr>
      </w:pPr>
      <w:r>
        <w:rPr>
          <w:rStyle w:val="a7"/>
          <w:sz w:val="20"/>
        </w:rPr>
        <w:endnoteRef/>
      </w:r>
      <w:r>
        <w:rPr>
          <w:rFonts w:hint="eastAsia"/>
          <w:sz w:val="16"/>
          <w:szCs w:val="14"/>
        </w:rPr>
        <w:t xml:space="preserve">  具体的な期限を定めることも可能。</w:t>
      </w:r>
    </w:p>
  </w:endnote>
  <w:endnote w:id="60">
    <w:p>
      <w:pPr>
        <w:pStyle w:val="a6"/>
        <w:spacing w:line="276" w:lineRule="auto"/>
        <w:ind w:left="284" w:hangingChars="142" w:hanging="284"/>
        <w:rPr>
          <w:sz w:val="20"/>
        </w:rPr>
      </w:pPr>
      <w:r>
        <w:rPr>
          <w:rStyle w:val="a7"/>
          <w:sz w:val="20"/>
        </w:rPr>
        <w:endnoteRef/>
      </w:r>
      <w:r>
        <w:rPr>
          <w:rFonts w:hint="eastAsia"/>
          <w:sz w:val="16"/>
        </w:rPr>
        <w:t xml:space="preserve">  当事者間で</w:t>
      </w:r>
      <w:r>
        <w:rPr>
          <w:rFonts w:hint="eastAsia"/>
          <w:sz w:val="16"/>
          <w:szCs w:val="14"/>
        </w:rPr>
        <w:t>用いる</w:t>
      </w:r>
      <w:r>
        <w:rPr>
          <w:rFonts w:hint="eastAsia"/>
          <w:sz w:val="16"/>
        </w:rPr>
        <w:t>確認方法（取引確認システムの利用なども可能）を適宜記載する。その他、交付先や確認に必要な事項を定めることも可能。</w:t>
      </w:r>
    </w:p>
  </w:endnote>
  <w:endnote w:id="61">
    <w:p>
      <w:pPr>
        <w:pStyle w:val="a6"/>
        <w:spacing w:line="276" w:lineRule="auto"/>
        <w:ind w:left="284" w:hangingChars="142" w:hanging="284"/>
        <w:rPr>
          <w:sz w:val="20"/>
        </w:rPr>
      </w:pPr>
      <w:r>
        <w:rPr>
          <w:rStyle w:val="a7"/>
          <w:sz w:val="20"/>
        </w:rPr>
        <w:endnoteRef/>
      </w:r>
      <w:r>
        <w:rPr>
          <w:rFonts w:hint="eastAsia"/>
          <w:sz w:val="16"/>
        </w:rPr>
        <w:t xml:space="preserve">  個別取引明細書の交付を行う場合は前者を、その他の方法で合意内容の確認を行う場合は後者を選択し、他方を削除する。</w:t>
      </w:r>
    </w:p>
  </w:endnote>
  <w:endnote w:id="62">
    <w:p>
      <w:pPr>
        <w:pStyle w:val="a6"/>
        <w:spacing w:line="276" w:lineRule="auto"/>
        <w:ind w:left="284" w:hangingChars="142" w:hanging="284"/>
        <w:rPr>
          <w:sz w:val="20"/>
        </w:rPr>
      </w:pPr>
      <w:r>
        <w:rPr>
          <w:rStyle w:val="a7"/>
          <w:sz w:val="20"/>
        </w:rPr>
        <w:endnoteRef/>
      </w:r>
      <w:r>
        <w:rPr>
          <w:rFonts w:hint="eastAsia"/>
          <w:sz w:val="16"/>
        </w:rPr>
        <w:t xml:space="preserve">  担保金の利息を定める基準金利を記載する。当該日に金利が公表されないといった事態に対応するべく、「（当該対象日の[●]が存在しない場合は、当該対象日の直前に公表された[●]から[●]%を控除した利率）」のような規定を追加することも可能であり、当該金利がマイナスの値となった場合に対応するため、「（0%を下限とする。）」といった規定を追加することも可能。</w:t>
      </w:r>
    </w:p>
  </w:endnote>
  <w:endnote w:id="63">
    <w:p>
      <w:pPr>
        <w:pStyle w:val="a6"/>
        <w:spacing w:line="276" w:lineRule="auto"/>
        <w:ind w:left="284" w:hangingChars="142" w:hanging="284"/>
        <w:rPr>
          <w:sz w:val="20"/>
        </w:rPr>
      </w:pPr>
      <w:r>
        <w:rPr>
          <w:rStyle w:val="a7"/>
          <w:sz w:val="20"/>
        </w:rPr>
        <w:endnoteRef/>
      </w:r>
      <w:r>
        <w:rPr>
          <w:rFonts w:hint="eastAsia"/>
          <w:sz w:val="16"/>
        </w:rPr>
        <w:t xml:space="preserve">  受渡担保明細書の交付を行う場合は前者を、それ以外の方法で通知する場合には後者を選択し、他方を削除する。受渡担保明細書以外の方法による場合、通知方法（確認システムの利用なども可能）を適宜記載することも可能。その他、通知先や通知に必要な事項を定めることも可能。通知を行わない場合には本項は削除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32813"/>
      <w:docPartObj>
        <w:docPartGallery w:val="Page Numbers (Bottom of Page)"/>
        <w:docPartUnique/>
      </w:docPartObj>
    </w:sdtPr>
    <w:sdtContent>
      <w:p>
        <w:pPr>
          <w:pStyle w:val="a4"/>
          <w:jc w:val="center"/>
        </w:pPr>
        <w:r>
          <w:fldChar w:fldCharType="begin"/>
        </w:r>
        <w:r>
          <w:instrText>PAGE   \* MERGEFORMAT</w:instrText>
        </w:r>
        <w:r>
          <w:fldChar w:fldCharType="separate"/>
        </w:r>
        <w:r>
          <w:rPr>
            <w:noProof/>
            <w:lang w:val="ja-JP"/>
          </w:rPr>
          <w:t>1</w:t>
        </w:r>
        <w:r>
          <w:fldChar w:fldCharType="end"/>
        </w:r>
      </w:p>
    </w:sdtContent>
  </w:sdt>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85TrailerDate" w:val="0"/>
    <w:docVar w:name="85TrailerDateField" w:val="0"/>
    <w:docVar w:name="85TrailerDraft" w:val="0"/>
    <w:docVar w:name="85TrailerTime" w:val="0"/>
    <w:docVar w:name="85TrailerType" w:val="102"/>
    <w:docVar w:name="MPDocID" w:val="JSDA_GC repo transaction master agreement form/tk-591126 v17"/>
    <w:docVar w:name="MPDocIDTemplateDefault" w:val="%a/|%l-|%n| v%v"/>
    <w:docVar w:name="NewDocStampType" w:val="24"/>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J条"/>
    <w:basedOn w:val="a"/>
    <w:pPr>
      <w:tabs>
        <w:tab w:val="left" w:pos="360"/>
        <w:tab w:val="left" w:pos="900"/>
      </w:tabs>
      <w:overflowPunct w:val="0"/>
      <w:autoSpaceDE w:val="0"/>
      <w:autoSpaceDN w:val="0"/>
      <w:ind w:left="180" w:hangingChars="100" w:hanging="180"/>
    </w:pPr>
    <w:rPr>
      <w:color w:val="0000FF"/>
    </w:rPr>
  </w:style>
  <w:style w:type="paragraph" w:customStyle="1" w:styleId="J0">
    <w:name w:val="J表段落"/>
    <w:basedOn w:val="a"/>
    <w:pPr>
      <w:overflowPunct w:val="0"/>
      <w:autoSpaceDE w:val="0"/>
      <w:autoSpaceDN w:val="0"/>
    </w:pPr>
  </w:style>
  <w:style w:type="paragraph" w:customStyle="1" w:styleId="J1">
    <w:name w:val="J様式段落"/>
    <w:basedOn w:val="a"/>
    <w:link w:val="J2"/>
    <w:pPr>
      <w:overflowPunct w:val="0"/>
      <w:autoSpaceDE w:val="0"/>
      <w:autoSpaceDN w:val="0"/>
      <w:spacing w:line="306" w:lineRule="exact"/>
      <w:ind w:firstLineChars="100" w:firstLine="100"/>
    </w:pPr>
    <w:rPr>
      <w:sz w:val="16"/>
    </w:rPr>
  </w:style>
  <w:style w:type="paragraph" w:customStyle="1" w:styleId="J3">
    <w:name w:val="J様式条"/>
    <w:basedOn w:val="J"/>
    <w:link w:val="J4"/>
    <w:pPr>
      <w:tabs>
        <w:tab w:val="clear" w:pos="360"/>
        <w:tab w:val="clear" w:pos="900"/>
        <w:tab w:val="left" w:pos="320"/>
      </w:tabs>
      <w:spacing w:line="306" w:lineRule="exact"/>
      <w:ind w:left="160" w:firstLineChars="0" w:hanging="160"/>
    </w:pPr>
    <w:rPr>
      <w:sz w:val="16"/>
      <w:szCs w:val="16"/>
    </w:rPr>
  </w:style>
  <w:style w:type="paragraph" w:customStyle="1" w:styleId="J5">
    <w:name w:val="J様式箇条イン０"/>
    <w:basedOn w:val="a"/>
    <w:pPr>
      <w:tabs>
        <w:tab w:val="left" w:pos="320"/>
      </w:tabs>
      <w:overflowPunct w:val="0"/>
      <w:autoSpaceDE w:val="0"/>
      <w:autoSpaceDN w:val="0"/>
      <w:spacing w:line="306" w:lineRule="exact"/>
      <w:ind w:left="160" w:hanging="160"/>
    </w:pPr>
    <w:rPr>
      <w:sz w:val="16"/>
      <w:szCs w:val="16"/>
    </w:rPr>
  </w:style>
  <w:style w:type="paragraph" w:customStyle="1" w:styleId="J6">
    <w:name w:val="J様式箇条イン１"/>
    <w:basedOn w:val="J5"/>
    <w:pPr>
      <w:tabs>
        <w:tab w:val="left" w:pos="480"/>
      </w:tabs>
      <w:ind w:left="319" w:hanging="159"/>
    </w:pPr>
  </w:style>
  <w:style w:type="paragraph" w:styleId="a4">
    <w:name w:val="footer"/>
    <w:basedOn w:val="a"/>
    <w:link w:val="a5"/>
    <w:uiPriority w:val="99"/>
    <w:pPr>
      <w:tabs>
        <w:tab w:val="center" w:pos="4252"/>
        <w:tab w:val="right" w:pos="8504"/>
      </w:tabs>
      <w:snapToGrid w:val="0"/>
    </w:pPr>
  </w:style>
  <w:style w:type="paragraph" w:customStyle="1" w:styleId="J7">
    <w:name w:val="J様式見出し"/>
    <w:basedOn w:val="a"/>
    <w:pPr>
      <w:keepNext/>
      <w:overflowPunct w:val="0"/>
      <w:autoSpaceDE w:val="0"/>
      <w:autoSpaceDN w:val="0"/>
      <w:spacing w:line="612" w:lineRule="exact"/>
      <w:jc w:val="center"/>
      <w:textAlignment w:val="center"/>
    </w:pPr>
    <w:rPr>
      <w:rFonts w:ascii="ＭＳ ゴシック" w:eastAsia="ＭＳ ゴシック"/>
      <w:color w:val="008080"/>
      <w:sz w:val="20"/>
    </w:rPr>
  </w:style>
  <w:style w:type="paragraph" w:styleId="a6">
    <w:name w:val="endnote text"/>
    <w:basedOn w:val="a"/>
    <w:semiHidden/>
    <w:pPr>
      <w:snapToGrid w:val="0"/>
      <w:jc w:val="left"/>
    </w:pPr>
  </w:style>
  <w:style w:type="character" w:styleId="a7">
    <w:name w:val="endnote reference"/>
    <w:semiHidden/>
    <w:rPr>
      <w:vertAlign w:val="superscript"/>
    </w:rPr>
  </w:style>
  <w:style w:type="character" w:customStyle="1" w:styleId="J2">
    <w:name w:val="J様式段落 (文字)"/>
    <w:link w:val="J1"/>
    <w:rPr>
      <w:rFonts w:ascii="ＭＳ 明朝" w:eastAsia="ＭＳ 明朝" w:hAnsi="Century"/>
      <w:kern w:val="2"/>
      <w:sz w:val="16"/>
      <w:szCs w:val="18"/>
      <w:lang w:val="en-US" w:eastAsia="ja-JP" w:bidi="ar-SA"/>
    </w:rPr>
  </w:style>
  <w:style w:type="paragraph" w:styleId="a8">
    <w:name w:val="header"/>
    <w:basedOn w:val="a"/>
    <w:pPr>
      <w:tabs>
        <w:tab w:val="center" w:pos="4252"/>
        <w:tab w:val="right" w:pos="8504"/>
      </w:tabs>
      <w:snapToGrid w:val="0"/>
    </w:pPr>
  </w:style>
  <w:style w:type="character" w:customStyle="1" w:styleId="zzmpTrailerItem">
    <w:name w:val="zzmpTrailerItem"/>
    <w:rPr>
      <w:rFonts w:ascii="ＭＳ 明朝" w:eastAsia="ＭＳ 明朝" w:hAnsi="ＭＳ 明朝" w:cs="Times New Roman"/>
      <w:dstrike w:val="0"/>
      <w:noProof/>
      <w:color w:val="auto"/>
      <w:spacing w:val="0"/>
      <w:position w:val="0"/>
      <w:sz w:val="20"/>
      <w:szCs w:val="16"/>
      <w:u w:val="none"/>
      <w:effect w:val="none"/>
      <w:vertAlign w:val="baseline"/>
    </w:rPr>
  </w:style>
  <w:style w:type="character" w:customStyle="1" w:styleId="a5">
    <w:name w:val="フッター (文字)"/>
    <w:link w:val="a4"/>
    <w:uiPriority w:val="99"/>
    <w:rPr>
      <w:rFonts w:ascii="ＭＳ 明朝"/>
      <w:kern w:val="2"/>
      <w:sz w:val="18"/>
      <w:szCs w:val="18"/>
    </w:rPr>
  </w:style>
  <w:style w:type="paragraph" w:styleId="a9">
    <w:name w:val="footnote text"/>
    <w:basedOn w:val="a"/>
    <w:link w:val="aa"/>
    <w:pPr>
      <w:snapToGrid w:val="0"/>
      <w:jc w:val="left"/>
    </w:pPr>
  </w:style>
  <w:style w:type="character" w:customStyle="1" w:styleId="aa">
    <w:name w:val="脚注文字列 (文字)"/>
    <w:link w:val="a9"/>
    <w:rPr>
      <w:rFonts w:ascii="ＭＳ 明朝"/>
      <w:kern w:val="2"/>
      <w:sz w:val="18"/>
      <w:szCs w:val="18"/>
    </w:rPr>
  </w:style>
  <w:style w:type="character" w:styleId="ab">
    <w:name w:val="footnote reference"/>
    <w:rPr>
      <w:vertAlign w:val="superscript"/>
    </w:rPr>
  </w:style>
  <w:style w:type="character" w:customStyle="1" w:styleId="J4">
    <w:name w:val="J様式条 (文字)"/>
    <w:link w:val="J3"/>
    <w:rPr>
      <w:rFonts w:ascii="ＭＳ 明朝"/>
      <w:color w:val="0000FF"/>
      <w:kern w:val="2"/>
      <w:sz w:val="16"/>
      <w:szCs w:val="16"/>
    </w:rPr>
  </w:style>
  <w:style w:type="paragraph" w:styleId="ac">
    <w:name w:val="Balloon Text"/>
    <w:basedOn w:val="a"/>
    <w:link w:val="ad"/>
    <w:rPr>
      <w:rFonts w:ascii="Arial" w:eastAsia="ＭＳ ゴシック" w:hAnsi="Arial"/>
      <w:sz w:val="16"/>
      <w:szCs w:val="16"/>
    </w:rPr>
  </w:style>
  <w:style w:type="character" w:customStyle="1" w:styleId="ad">
    <w:name w:val="吹き出し (文字)"/>
    <w:link w:val="ac"/>
    <w:rPr>
      <w:rFonts w:ascii="Arial" w:eastAsia="ＭＳ ゴシック" w:hAnsi="Arial" w:cs="Times New Roman"/>
      <w:kern w:val="2"/>
      <w:sz w:val="16"/>
      <w:szCs w:val="16"/>
    </w:rPr>
  </w:style>
  <w:style w:type="character" w:styleId="ae">
    <w:name w:val="Hyperlink"/>
    <w:rPr>
      <w:color w:val="0000FF"/>
      <w:u w:val="single"/>
    </w:rPr>
  </w:style>
  <w:style w:type="paragraph" w:styleId="af">
    <w:name w:val="Revision"/>
    <w:hidden/>
    <w:uiPriority w:val="99"/>
    <w:semiHidden/>
    <w:rPr>
      <w:rFonts w:ascii="ＭＳ 明朝"/>
      <w:kern w:val="2"/>
      <w:sz w:val="18"/>
      <w:szCs w:val="18"/>
    </w:rPr>
  </w:style>
  <w:style w:type="character" w:styleId="af0">
    <w:name w:val="annotation reference"/>
    <w:basedOn w:val="a0"/>
    <w:semiHidden/>
    <w:unhideWhenUsed/>
    <w:rPr>
      <w:sz w:val="18"/>
      <w:szCs w:val="18"/>
    </w:rPr>
  </w:style>
  <w:style w:type="paragraph" w:styleId="af1">
    <w:name w:val="annotation text"/>
    <w:basedOn w:val="a"/>
    <w:link w:val="af2"/>
    <w:unhideWhenUsed/>
    <w:pPr>
      <w:jc w:val="left"/>
    </w:pPr>
  </w:style>
  <w:style w:type="character" w:customStyle="1" w:styleId="af2">
    <w:name w:val="コメント文字列 (文字)"/>
    <w:basedOn w:val="a0"/>
    <w:link w:val="af1"/>
    <w:rPr>
      <w:rFonts w:ascii="ＭＳ 明朝"/>
      <w:kern w:val="2"/>
      <w:sz w:val="18"/>
      <w:szCs w:val="18"/>
    </w:rPr>
  </w:style>
  <w:style w:type="paragraph" w:styleId="af3">
    <w:name w:val="annotation subject"/>
    <w:basedOn w:val="af1"/>
    <w:next w:val="af1"/>
    <w:link w:val="af4"/>
    <w:semiHidden/>
    <w:unhideWhenUsed/>
    <w:rPr>
      <w:b/>
      <w:bCs/>
    </w:rPr>
  </w:style>
  <w:style w:type="character" w:customStyle="1" w:styleId="af4">
    <w:name w:val="コメント内容 (文字)"/>
    <w:basedOn w:val="af2"/>
    <w:link w:val="af3"/>
    <w:semiHidden/>
    <w:rPr>
      <w:rFonts w:asci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B5E7-CDD1-4325-A1FB-4D521F01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6080</Words>
  <Characters>34661</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40660</CharactersWithSpaces>
  <SharedDoc>false</SharedDoc>
  <HLinks>
    <vt:vector size="6" baseType="variant">
      <vt:variant>
        <vt:i4>6488109</vt:i4>
      </vt:variant>
      <vt:variant>
        <vt:i4>0</vt:i4>
      </vt:variant>
      <vt:variant>
        <vt:i4>0</vt:i4>
      </vt:variant>
      <vt:variant>
        <vt:i4>5</vt:i4>
      </vt:variant>
      <vt:variant>
        <vt:lpwstr>http://www.nao.ac.jp/faq/a0401.html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2022-04-19T06:42:00Z</dcterms:created>
  <dcterms:modified xsi:type="dcterms:W3CDTF">2022-06-29T23:06:00Z</dcterms:modified>
</cp:coreProperties>
</file>